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Ἀπόσπασμα</w:t>
      </w:r>
      <w:r>
        <w:br/>
      </w:r>
      <w:r>
        <w:rPr>
          <w:i/>
          <w:color w:val="666666"/>
          <w:sz w:val="40"/>
        </w:rPr>
        <w:t>Fragment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Μενεσθένης ὁ ἱστορικός</w:t>
      </w:r>
      <w:r>
        <w:br/>
      </w:r>
      <w:r>
        <w:rPr>
          <w:i/>
          <w:color w:val="666666"/>
          <w:sz w:val="28"/>
        </w:rPr>
        <w:t>by Menesthenes the Historian</w:t>
      </w:r>
    </w:p>
    <w:p/>
    <w:p>
      <w:pPr>
        <w:jc w:val="center"/>
      </w:pPr>
      <w:r>
        <w:rPr>
          <w:rFonts w:ascii="Gentium Plus" w:hAnsi="Gentium Plus"/>
          <w:b/>
          <w:sz w:val="24"/>
        </w:rPr>
        <w:t>ΠΟΛΙΤΙΚΑ. E LIBRO QUARTO.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Athenaeus XI: Ὅλμος, ποτήριον κερατίου τρόπον εἰργασμένον. Μενεσθένης ἐν τετάρτῳ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πτὸν καὶ ὅλμον χρυσοῦν. Ὁ δὲ ὅλμος ἐστὶ ποτήριον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