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Μοδερᾶτος ὁ Γαδειτανός</w:t>
      </w:r>
      <w:r>
        <w:br/>
      </w:r>
      <w:r>
        <w:rPr>
          <w:i/>
          <w:color w:val="666666"/>
          <w:sz w:val="28"/>
        </w:rPr>
        <w:t>by Moderatus of Gades</w:t>
      </w:r>
    </w:p>
    <w:p/>
    <w:p>
      <w:r>
        <w:rPr>
          <w:rFonts w:ascii="Courier New" w:hAnsi="Courier New"/>
          <w:color w:val="555555"/>
          <w:sz w:val="20"/>
        </w:rPr>
        <w:t>[1]</w:t>
      </w:r>
    </w:p>
    <w:p>
      <w:r>
        <w:rPr>
          <w:rFonts w:ascii="Gentium Plus" w:hAnsi="Gentium Plus"/>
          <w:sz w:val="24"/>
        </w:rPr>
        <w:t>Ἔστι δ’ ἀριθμός, ὡς τύπῳ εἰπεῖν, σύστημα μονάδων, ἢ προποδισμὸς πλήθους ἀπὸ μονάδος ἀρχόμε‐ νος, καὶ ἀναποδισμὸς εἰς μονάδα καταλήγων· μονάδας δὲ περαίνουσα ποσότης, ἥτις μειουμένου τοῦ πλήθους</w:t>
      </w:r>
    </w:p>
    <w:p>
      <w:r>
        <w:rPr>
          <w:rFonts w:ascii="Courier New" w:hAnsi="Courier New"/>
          <w:color w:val="555555"/>
          <w:sz w:val="20"/>
        </w:rPr>
        <w:t>[5]</w:t>
      </w:r>
    </w:p>
    <w:p>
      <w:r>
        <w:rPr>
          <w:rFonts w:ascii="Gentium Plus" w:hAnsi="Gentium Plus"/>
          <w:sz w:val="24"/>
        </w:rPr>
        <w:t>κατὰ τὴν ὑφαίρεσιν παντὸς ἀριθμοῦ στερηθεῖσα μονήν τε καὶ στάσιν λαμβάνει. Περαιτέρω γὰρ ἡ μονὰς τῆς πο‐ σότητος οὐκ ἰσχύει ἀναποδίζειν· ὥστε μονὰς ἤτοι ἀπὸ τοῦ ἑστάναι καὶ κατὰ ταυτὰ ὡσαύτως ἄτρεπτος μέ‐ νειν, ἢ ἀπὸ τοῦ διακεκρίσθαι καὶ παντελῶς μεμονῶ‐</w:t>
      </w:r>
    </w:p>
    <w:p>
      <w:r>
        <w:rPr>
          <w:rFonts w:ascii="Courier New" w:hAnsi="Courier New"/>
          <w:color w:val="555555"/>
          <w:sz w:val="20"/>
        </w:rPr>
        <w:t>[10]</w:t>
      </w:r>
    </w:p>
    <w:p>
      <w:r>
        <w:rPr>
          <w:rFonts w:ascii="Gentium Plus" w:hAnsi="Gentium Plus"/>
          <w:sz w:val="24"/>
        </w:rPr>
        <w:t>σθαι τοῦ πλήθους εὐλόγως ἐκλήθη.</w:t>
      </w:r>
    </w:p>
    <w:p>
      <w:r>
        <w:rPr>
          <w:rFonts w:ascii="Courier New" w:hAnsi="Courier New"/>
          <w:color w:val="555555"/>
          <w:sz w:val="20"/>
        </w:rPr>
        <w:t>[2]</w:t>
      </w:r>
    </w:p>
    <w:p>
      <w:r>
        <w:rPr>
          <w:rFonts w:ascii="Gentium Plus" w:hAnsi="Gentium Plus"/>
          <w:sz w:val="24"/>
        </w:rPr>
        <w:t>Τινὲς τῶν ἀριθμῶν ἀρχὴν ἀπεφήναντο τὴν μο‐ νάδα, τῶν δὲ ἀριθμητῶν τὸ ἕν, τοῦτο δὲ σῶμα τεμνό‐ μενον εἰς ἄπειρον· ὥστε τὰ ἀριθμητὰ τῶν ἀριθμῶν ταύτῃ διαλλάττειν ᾗ διαφέρει τὰ σώματα τῶν ἀσωμά‐</w:t>
      </w:r>
    </w:p>
    <w:p>
      <w:r>
        <w:rPr>
          <w:rFonts w:ascii="Courier New" w:hAnsi="Courier New"/>
          <w:color w:val="555555"/>
          <w:sz w:val="20"/>
        </w:rPr>
        <w:t>[5]</w:t>
      </w:r>
    </w:p>
    <w:p>
      <w:r>
        <w:rPr>
          <w:rFonts w:ascii="Gentium Plus" w:hAnsi="Gentium Plus"/>
          <w:sz w:val="24"/>
        </w:rPr>
        <w:t>των. Εἰδέναι δὲ καὶ τοῦτο χρή, ὅτι τῶν ἀριθμῶν εἰσηγήσαντο τὰς ἀρχὰς οἱ μὲν νεώτεροι τήν τε μονάδα καὶ τὴν δυάδα, οἱ δὲ Πυθαγόρειοι πάσας παρὰ τὸ ἑξῆς τὰς τῶν ὅρων ἐκθέσεις, δι’ ὧν ἄρτιοί τε καὶ περιττοὶ</w:t>
      </w:r>
    </w:p>
    <w:p>
      <w:r>
        <w:rPr>
          <w:rFonts w:ascii="Courier New" w:hAnsi="Courier New"/>
          <w:color w:val="555555"/>
          <w:sz w:val="20"/>
        </w:rPr>
        <w:t>[3]</w:t>
      </w:r>
    </w:p>
    <w:p>
      <w:r>
        <w:rPr>
          <w:rFonts w:ascii="Gentium Plus" w:hAnsi="Gentium Plus"/>
          <w:sz w:val="24"/>
        </w:rPr>
        <w:t>Πυθαγόρας πλείστῃ σπουδῇ περὶ τοὺς ἀριθμοὺς ἐχρήσατο, τάς τε τῶν ζῴων γενέσεις ἀνῆγεν εἰς ἀρι‐ θμοὺς καὶ τῶν ἀστέρων τὰς περιόδους. Ἔτι δὲ τοῖς θεοῖς ἀπεικάζων ἐπωνόμαζεν, ὡς Ἀπόλλωνα μὲν τὴν</w:t>
      </w:r>
    </w:p>
    <w:p>
      <w:r>
        <w:rPr>
          <w:rFonts w:ascii="Courier New" w:hAnsi="Courier New"/>
          <w:color w:val="555555"/>
          <w:sz w:val="20"/>
        </w:rPr>
        <w:t>[5]</w:t>
      </w:r>
    </w:p>
    <w:p>
      <w:r>
        <w:rPr>
          <w:rFonts w:ascii="Gentium Plus" w:hAnsi="Gentium Plus"/>
          <w:sz w:val="24"/>
        </w:rPr>
        <w:t>μονάδα οὖσαν, Ἄρτεμιν δὲ τὴν δυάδα, τὴν ἑξάδα Γάμον καὶ Ἀφροδίτην, τὴν δὲ ἑβδομάδα Καιρὸν καὶ Ἀθηνᾶν, Ἀσφάλειον δὲ Ποσειδῶνα τὴν ὀγδοάδα, καὶ τὴν δεκάδα Παντέλειαν. Αὐτοῦ δὲ πάλιν τοῦ ἀρι‐ θμοῦ τὸν μὲν ἄρτιον ἀτελῆ, πλήρη δὲ καὶ τέλειον ἀπε‐</w:t>
      </w:r>
    </w:p>
    <w:p>
      <w:r>
        <w:rPr>
          <w:rFonts w:ascii="Courier New" w:hAnsi="Courier New"/>
          <w:color w:val="555555"/>
          <w:sz w:val="20"/>
        </w:rPr>
        <w:t>[10]</w:t>
      </w:r>
    </w:p>
    <w:p>
      <w:r>
        <w:rPr>
          <w:rFonts w:ascii="Gentium Plus" w:hAnsi="Gentium Plus"/>
          <w:sz w:val="24"/>
        </w:rPr>
        <w:t>φήνατο τὸν περιττόν, ὅτι μιγνύμενός τε πρὸς τὸν ἄρτιον ἀεὶ ποιεῖ περικρατεῖν τὸν ἐξ ἀμφοῖν περισσόν, αὑτῷ τε πάλιν συντιθέμενος γεννᾷ τὸν ἄρτιον, ὁ δ’ ἄρτιος οὐδέποτε τὸν περισσόν, ὡς οὐ γόνιμος ὢν οὐδὲ ἔχων δύναμιν ἀρχῆς. Ὥστε ἐν τῷ διαιρεῖσθαι δίχα</w:t>
      </w:r>
    </w:p>
    <w:p>
      <w:r>
        <w:rPr>
          <w:rFonts w:ascii="Courier New" w:hAnsi="Courier New"/>
          <w:color w:val="555555"/>
          <w:sz w:val="20"/>
        </w:rPr>
        <w:t>[15]</w:t>
      </w:r>
    </w:p>
    <w:p>
      <w:r>
        <w:rPr>
          <w:rFonts w:ascii="Gentium Plus" w:hAnsi="Gentium Plus"/>
          <w:sz w:val="24"/>
        </w:rPr>
        <w:t>πολλοὶ τῶν ἀρτίων εἰς περισσοὺς τὴν ἀνάλυσιν λαμ‐ βάνουσιν, ὡς ὁ τεσσαρεσκαίδεκα, τῶν δὲ περισσῶν εἰς ἀρτίους οὐδείς. Ἀδιαίρετον γὰρ ἡ ἀρχὴ καὶ τὸ στοι‐ χεῖον εἰς ἕτερα· τοῖς δὲ ἄλλοις εἰς τὰ αὐτὰ πάλιν αἱ διαλύσεις. Ἔτι δὲ τῇ μονάδι τῶν ἐφεξῆς περισσῶν</w:t>
      </w:r>
    </w:p>
    <w:p>
      <w:r>
        <w:rPr>
          <w:rFonts w:ascii="Courier New" w:hAnsi="Courier New"/>
          <w:color w:val="555555"/>
          <w:sz w:val="20"/>
        </w:rPr>
        <w:t>[20]</w:t>
      </w:r>
    </w:p>
    <w:p>
      <w:r>
        <w:rPr>
          <w:rFonts w:ascii="Gentium Plus" w:hAnsi="Gentium Plus"/>
          <w:sz w:val="24"/>
        </w:rPr>
        <w:t>γνωμόνων περιτιθεμένων, ὁ γινόμενος ἀεὶ τετράγωνός ἐστι τῶν δὲ ἀρτίων ὁμοίως περιτιθεμένων, ἑτερομή‐ κεις καὶ ἄνισοι πάντες ἀποβαίνουσιν· ἴσον δὲ ἰσάκις οὐδείς. Καὶ μὴν εἰς δύο διαιρουμένων ἴσα, τοῦ μὲν περισσοῦ μονὰς ἐν μέσῳ περίεστι, τοῦ δὲ ἀρτίου κενὴ</w:t>
      </w:r>
    </w:p>
    <w:p>
      <w:r>
        <w:rPr>
          <w:rFonts w:ascii="Courier New" w:hAnsi="Courier New"/>
          <w:color w:val="555555"/>
          <w:sz w:val="20"/>
        </w:rPr>
        <w:t>[25]</w:t>
      </w:r>
    </w:p>
    <w:p>
      <w:r>
        <w:rPr>
          <w:rFonts w:ascii="Gentium Plus" w:hAnsi="Gentium Plus"/>
          <w:sz w:val="24"/>
        </w:rPr>
        <w:t>λείπεται χώρα καὶ ἀδέσποτος καὶ ἀνάριθμος, ὡς δὴ ἐνδεοῦς καὶ ἀτελοῦς ὄντος Περὶ δὲ τοῦ κοινοῦ λόγου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