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περὶ Ἀρχῶν</w:t>
      </w:r>
      <w:r>
        <w:br/>
      </w:r>
      <w:r>
        <w:rPr>
          <w:i/>
          <w:color w:val="666666"/>
          <w:sz w:val="40"/>
        </w:rPr>
        <w:t>Fragments on Principles</w:t>
      </w:r>
    </w:p>
    <w:p>
      <w:pPr>
        <w:jc w:val="center"/>
      </w:pPr>
      <w:r>
        <w:rPr>
          <w:rFonts w:ascii="Times New Roman" w:hAnsi="Times New Roman"/>
          <w:color w:val="1E3A70"/>
          <w:sz w:val="32"/>
        </w:rPr>
        <w:t>Ὠριγένης ὁ Ἀλεξανδρεύς</w:t>
      </w:r>
      <w:r>
        <w:br/>
      </w:r>
      <w:r>
        <w:rPr>
          <w:i/>
          <w:color w:val="666666"/>
          <w:sz w:val="28"/>
        </w:rPr>
        <w:t>by Origen of Alexandria</w:t>
      </w:r>
    </w:p>
    <w:p/>
    <w:p>
      <w:r>
        <w:rPr>
          <w:rFonts w:ascii="Courier New" w:hAnsi="Courier New"/>
          <w:color w:val="555555"/>
          <w:sz w:val="20"/>
        </w:rPr>
        <w:t>[1]</w:t>
      </w:r>
    </w:p>
    <w:p>
      <w:r>
        <w:rPr>
          <w:rFonts w:ascii="Gentium Plus" w:hAnsi="Gentium Plus"/>
          <w:sz w:val="24"/>
        </w:rPr>
        <w:t>Euseb. C. Marcell. I 4 (GCS 14, p. 23, 11—18): (Marcell.:) γέγραφεν γὰρ ἀρχόμενος (scil. τοῦ Περὶ ἀρχῶν βιβλίου) οὕτως· →Οἱ πεπιστευκότες καὶ πεπεισμένοι←, τοῦτο 〈τὸ〉 ῥητὸν οὕτως εἰρημένον εὕροις ἂν ἐν τῷ Γοργίᾳ Πλάτωνος. —(Euseb.:) Οὔτ’ εἰ ἐφέρετο, ἤνεγκεν ἂν διαβολὴν</w:t>
      </w:r>
    </w:p>
    <w:p>
      <w:r>
        <w:rPr>
          <w:rFonts w:ascii="Courier New" w:hAnsi="Courier New"/>
          <w:color w:val="555555"/>
          <w:sz w:val="20"/>
        </w:rPr>
        <w:t>[5]</w:t>
      </w:r>
    </w:p>
    <w:p>
      <w:r>
        <w:rPr>
          <w:rFonts w:ascii="Gentium Plus" w:hAnsi="Gentium Plus"/>
          <w:sz w:val="24"/>
        </w:rPr>
        <w:t>Ὠριγένει φάντι· →Οἱ πεπιστευκότες [ἢ] καὶ πεπεισμένοι←, καὶ συνάψαντι ἑξῆς· →‘τὴν χάριν καὶ τὴν ἀλήθειαν διὰ Ἰησοῦ Χριστοῦ γεγονέναι‘ καὶ Χριστὸν εἶναι τὴν ἀλήθειαν, κατὰ τὸ εἰρημένον ὑπ’ αὐτοῦ·</w:t>
      </w:r>
    </w:p>
    <w:p>
      <w:r>
        <w:rPr>
          <w:rFonts w:ascii="Courier New" w:hAnsi="Courier New"/>
          <w:color w:val="555555"/>
          <w:sz w:val="20"/>
        </w:rPr>
        <w:t>[2]</w:t>
      </w:r>
    </w:p>
    <w:p>
      <w:r>
        <w:rPr>
          <w:rFonts w:ascii="Gentium Plus" w:hAnsi="Gentium Plus"/>
          <w:sz w:val="24"/>
        </w:rPr>
        <w:t>Antip. Bostr. bei Joh. Damasc. Sacra parall., PG 96, 501 C: ὑμῶν (der Origenisten) γάρ ἐστιν ἡ φωνή, ὅτι →ὄνομα ἀσωμάτου οὐκ ἴσασιν οὐ</w:t>
      </w:r>
    </w:p>
    <w:p>
      <w:r>
        <w:rPr>
          <w:rFonts w:ascii="Courier New" w:hAnsi="Courier New"/>
          <w:color w:val="555555"/>
          <w:sz w:val="20"/>
        </w:rPr>
        <w:t>[3]</w:t>
      </w:r>
    </w:p>
    <w:p>
      <w:r>
        <w:rPr>
          <w:rFonts w:ascii="Gentium Plus" w:hAnsi="Gentium Plus"/>
          <w:sz w:val="24"/>
        </w:rPr>
        <w:t>Antip. Bostr. a. a. O.: καὶ πάλιν ὅτι →ἐν τῷ κηρύγματι καὶ τὸ εἶναί τινας ἀγγέλους καὶ δυνάμεις κρείττονας, λειτουργικὰς τῆς σωτηρίας τῶν ἀνθρώπων, παραδέδοται· πότε δὲ ἐκτίσθησαν καὶ τίνα τὰ περὶ αὐτούς,</w:t>
      </w:r>
    </w:p>
    <w:p>
      <w:r>
        <w:rPr>
          <w:rFonts w:ascii="Courier New" w:hAnsi="Courier New"/>
          <w:color w:val="555555"/>
          <w:sz w:val="20"/>
        </w:rPr>
        <w:t>[4]</w:t>
      </w:r>
    </w:p>
    <w:p>
      <w:r>
        <w:rPr>
          <w:rFonts w:ascii="Gentium Plus" w:hAnsi="Gentium Plus"/>
          <w:sz w:val="24"/>
        </w:rPr>
        <w:t>Just. Ep. ad Menam (p. 209, 24—27 Schw.): Ἐκ τοῦ πρώτου λόγου τοῦ αὐτοῦ βιβλίου (scil. De princ.). →Γενόμενοι τοίνυν ἡμεῖς κατ’ εἰκόνα, τὸν υἱὸν πρωτότυπον ὡς ἀλήθειαν ἔχομεν τῶν ἐν ἡμῖν καλῶν τύπων· αὐτὸς δὲ ὅπερ ἡμεῖς ἐσμὲν πρὸς αὐτόν, τοιοῦτός ἐστι πρὸς τὸν πατέρα ἀλήθειαν</w:t>
      </w:r>
    </w:p>
    <w:p>
      <w:r>
        <w:rPr>
          <w:rFonts w:ascii="Courier New" w:hAnsi="Courier New"/>
          <w:color w:val="555555"/>
          <w:sz w:val="20"/>
        </w:rPr>
        <w:t>[5]</w:t>
      </w:r>
    </w:p>
    <w:p>
      <w:r>
        <w:rPr>
          <w:rFonts w:ascii="Gentium Plus" w:hAnsi="Gentium Plus"/>
          <w:sz w:val="24"/>
        </w:rPr>
        <w:t>τυγχάνοντα.←</w:t>
      </w:r>
    </w:p>
    <w:p>
      <w:r>
        <w:rPr>
          <w:rFonts w:ascii="Courier New" w:hAnsi="Courier New"/>
          <w:color w:val="555555"/>
          <w:sz w:val="20"/>
        </w:rPr>
        <w:t>[5]</w:t>
      </w:r>
    </w:p>
    <w:p>
      <w:r>
        <w:rPr>
          <w:rFonts w:ascii="Gentium Plus" w:hAnsi="Gentium Plus"/>
          <w:sz w:val="24"/>
        </w:rPr>
        <w:t>Just. Ep. ad Menam (p. 210, 21—24 Schw.): Ὅτι συναΐδια τοῦ θεοῦ τὰ κτίσματα, ἐκ τοῦ πρώτου λόγου τοῦ Περὶ ἀρχῶν βιβλίου. →Πῶς δὲ οὐκ ἄτοπον τὸ μὴ ἔχοντά τι τῶν πρεπόντων αὐτῷ τὸν θεὸν εἰς τὸ ἔχειν ἐληλυθέναι; εἰ δὲ οὐκ ἔστιν ὅτε παντοκράτωρ οὐκ ἦν, ἀεὶ εἶναι δεῖ ταῦτα,</w:t>
      </w:r>
    </w:p>
    <w:p>
      <w:r>
        <w:rPr>
          <w:rFonts w:ascii="Courier New" w:hAnsi="Courier New"/>
          <w:color w:val="555555"/>
          <w:sz w:val="20"/>
        </w:rPr>
        <w:t>[5]</w:t>
      </w:r>
    </w:p>
    <w:p>
      <w:r>
        <w:rPr>
          <w:rFonts w:ascii="Gentium Plus" w:hAnsi="Gentium Plus"/>
          <w:sz w:val="24"/>
        </w:rPr>
        <w:t>δι’ ἃ παντοκράτωρ ἐστί, καὶ ἀεὶ ἦν ὑπ’ αὐτοῦ κρατούμενα, ἄρχοντι αὐτῷ</w:t>
      </w:r>
    </w:p>
    <w:p>
      <w:r>
        <w:rPr>
          <w:rFonts w:ascii="Courier New" w:hAnsi="Courier New"/>
          <w:color w:val="555555"/>
          <w:sz w:val="20"/>
        </w:rPr>
        <w:t>[6]</w:t>
      </w:r>
    </w:p>
    <w:p>
      <w:r>
        <w:rPr>
          <w:rFonts w:ascii="Gentium Plus" w:hAnsi="Gentium Plus"/>
          <w:sz w:val="24"/>
        </w:rPr>
        <w:t>Just. Ep. ad Menam (p. 210, 1—6 Schw.): Ἐκ τοῦ αὐτοῦ (scil. πρώτου) λόγου. →Οὕτω τοίνυν ἡγοῦμαι καὶ ἐπὶ τοῦ σωτῆρος καλῶς ἂν λεχ‐ θήσεσθαι ὅτι ‘εἰκὼν ἀγαθότητος θεοῦ‘ ἐστιν, ἀλλ’ οὐκ αὐτοαγαθόν. καὶ τάχα καὶ ὁ υἱὸς ἀγαθός, ἀλλ’ οὐχ ὡς ἁπλῶς ἀγαθός. καὶ ὥσπερ ‘εἰκών ἐστι τοῦ</w:t>
      </w:r>
    </w:p>
    <w:p>
      <w:r>
        <w:rPr>
          <w:rFonts w:ascii="Courier New" w:hAnsi="Courier New"/>
          <w:color w:val="555555"/>
          <w:sz w:val="20"/>
        </w:rPr>
        <w:t>[5]</w:t>
      </w:r>
    </w:p>
    <w:p>
      <w:r>
        <w:rPr>
          <w:rFonts w:ascii="Gentium Plus" w:hAnsi="Gentium Plus"/>
          <w:sz w:val="24"/>
        </w:rPr>
        <w:t>θεοῦ τοῦ ἀοράτου‘ καὶ κατὰ τοῦτο θεός, ἀλλ’ οὐ περὶ οὗ λέγει αὐτὸς ὁ Χριστὸς „ἵνα γινώσκωσί σε τὸν μόνον ἀληθινὸν θεόν“, οὕτως ‘εἰκὼν τῆς</w:t>
      </w:r>
    </w:p>
    <w:p>
      <w:r>
        <w:rPr>
          <w:rFonts w:ascii="Courier New" w:hAnsi="Courier New"/>
          <w:color w:val="555555"/>
          <w:sz w:val="20"/>
        </w:rPr>
        <w:t>[7]</w:t>
      </w:r>
    </w:p>
    <w:p>
      <w:r>
        <w:rPr>
          <w:rFonts w:ascii="Gentium Plus" w:hAnsi="Gentium Plus"/>
          <w:sz w:val="24"/>
        </w:rPr>
        <w:t>Just. Ep. ad Menam (p. 210, 7—10 Schw.): Ὅτι μετὰ τοῦ υἱοῦ καὶ τὸ ἅγιον πνεῦμα κτίσμα εἰπὼν συνηρίθμησε τοῖς ἄλλοις κτίσμασι, δι’ ὃ καὶ λειτουργικὰ αὐτὰ ζῷα καλεῖ, ἐκ τοῦ πρώτου λόγου τοῦ Περὶ ἀρχῶν βιβλίου. →Ὅτι μὲν οὖν πᾶν ὅ τι ποτὲ παρὰ τὸν πατέρα καὶ θεὸν τῶν ὅλων</w:t>
      </w:r>
    </w:p>
    <w:p>
      <w:r>
        <w:rPr>
          <w:rFonts w:ascii="Courier New" w:hAnsi="Courier New"/>
          <w:color w:val="555555"/>
          <w:sz w:val="20"/>
        </w:rPr>
        <w:t>[5]</w:t>
      </w:r>
    </w:p>
    <w:p>
      <w:r>
        <w:rPr>
          <w:rFonts w:ascii="Gentium Plus" w:hAnsi="Gentium Plus"/>
          <w:sz w:val="24"/>
        </w:rPr>
        <w:t>γενητόν ἐστιν, ἐκ τῆς ἀκολουθίας πειθόμεθα.←</w:t>
      </w:r>
    </w:p>
    <w:p>
      <w:r>
        <w:rPr>
          <w:rFonts w:ascii="Courier New" w:hAnsi="Courier New"/>
          <w:color w:val="555555"/>
          <w:sz w:val="20"/>
        </w:rPr>
        <w:t>[8]</w:t>
      </w:r>
    </w:p>
    <w:p>
      <w:r>
        <w:rPr>
          <w:rFonts w:ascii="Gentium Plus" w:hAnsi="Gentium Plus"/>
          <w:sz w:val="24"/>
        </w:rPr>
        <w:t>Just. Ep. ad Menam (p. 210, 10—14 Schw.): καὶ μετά τινα· →Ἔλεγε δὲ ὁ Ἑβραῖος τὰ ἐν τῷ Ἡσαίᾳ δύο Σεραφὶμ ἑξαπτέρυγα, κεκραγότα ἕτερον πρὸς τὸ ἕτερον καὶ λέγοντα· „ἅγιος ἅγιος ἅγιος κύριος Σαβαώθ“ τὸν μονογενῆ εἶναι τοῦ θεοῦ καὶ τὸ πνεῦμα τὸ</w:t>
      </w:r>
    </w:p>
    <w:p>
      <w:r>
        <w:rPr>
          <w:rFonts w:ascii="Courier New" w:hAnsi="Courier New"/>
          <w:color w:val="555555"/>
          <w:sz w:val="20"/>
        </w:rPr>
        <w:t>[5]</w:t>
      </w:r>
    </w:p>
    <w:p>
      <w:r>
        <w:rPr>
          <w:rFonts w:ascii="Gentium Plus" w:hAnsi="Gentium Plus"/>
          <w:sz w:val="24"/>
        </w:rPr>
        <w:t>ἅγιον. ἡμεῖς δὲ οἰόμεθα ὅτι καὶ τὸ ἐν τῇ ᾠδῇ Ἀμβακούμ· „ἐν μέσῳ δύο</w:t>
      </w:r>
    </w:p>
    <w:p>
      <w:r>
        <w:rPr>
          <w:rFonts w:ascii="Courier New" w:hAnsi="Courier New"/>
          <w:color w:val="555555"/>
          <w:sz w:val="20"/>
        </w:rPr>
        <w:t>[9]</w:t>
      </w:r>
    </w:p>
    <w:p>
      <w:r>
        <w:rPr>
          <w:rFonts w:ascii="Gentium Plus" w:hAnsi="Gentium Plus"/>
          <w:sz w:val="24"/>
        </w:rPr>
        <w:t>Just. Ep. ad Menam (p. 208, 26—32 Schw.): Ἐκ τοῦ πρώτου λόγου τοῦ Περὶ ἀρχῶν βιβλίου. →Ὅτι ὁ μὲν θεὸς καὶ πατὴρ συνέχων τὰ πάντα φθάνει εἰς ἕκαστον τῶν ὄντων, μεταδιδοὺς ἑκάστῳ ἀπὸ τοῦ ἰδίου τὸ εἶναι ὅπερ ἐστίν, ἐλαττόνως δὲ παρὰ τὸν πατέρα ὁ υἱὸς φθάνων ἐπὶ μόνα τὰ λογικά (δεύ‐</w:t>
      </w:r>
    </w:p>
    <w:p>
      <w:r>
        <w:rPr>
          <w:rFonts w:ascii="Courier New" w:hAnsi="Courier New"/>
          <w:color w:val="555555"/>
          <w:sz w:val="20"/>
        </w:rPr>
        <w:t>[5]</w:t>
      </w:r>
    </w:p>
    <w:p>
      <w:r>
        <w:rPr>
          <w:rFonts w:ascii="Gentium Plus" w:hAnsi="Gentium Plus"/>
          <w:sz w:val="24"/>
        </w:rPr>
        <w:t>τερος γάρ ἐστι τοῦ πατρός), ἔτι δὲ ἡττόνως τὸ πνεῦμα τὸ ἅγιον ἐπὶ μόνους τοὺς ἁγίους διικνούμενον· ὥστε κατὰ τοῦτο μείζων ἡ δύναμις τοῦ πατρὸς παρὰ τὸν υἱὸν καὶ τὸ πνεῦμα τὸ ἅγιον, πλείων δὲ ἡ τοῦ υἱοῦ παρὰ τὸ πνεῦμα τὸ ἅγιον, καὶ πάλιν διαφέρουσα μᾶλλον τοῦ ἁγίου πνεύματος ἡ δύναμις παρὰ</w:t>
      </w:r>
    </w:p>
    <w:p>
      <w:r>
        <w:rPr>
          <w:rFonts w:ascii="Courier New" w:hAnsi="Courier New"/>
          <w:color w:val="555555"/>
          <w:sz w:val="20"/>
        </w:rPr>
        <w:t>[10]</w:t>
      </w:r>
    </w:p>
    <w:p>
      <w:r>
        <w:rPr>
          <w:rFonts w:ascii="Gentium Plus" w:hAnsi="Gentium Plus"/>
          <w:sz w:val="24"/>
        </w:rPr>
        <w:t>Just. Ep. ad Menam (p. 210, 25—27 Schw.): Ἐκ τοῦ αὐτοῦ (scil. πρώτου) λόγου. →Πάντα τὰ γένη καὶ τὰ εἴδη ἀεὶ ἦν, ἄλλος δέ τις ἐρεῖ καὶ τὸ καθ’ ἓν ἀριθμῷ· πλὴν ἑκατέρως δηλοῦται ὅτι οὐκ ἤρξατο ὁ θεὸς</w:t>
      </w:r>
    </w:p>
    <w:p>
      <w:r>
        <w:rPr>
          <w:rFonts w:ascii="Courier New" w:hAnsi="Courier New"/>
          <w:color w:val="555555"/>
          <w:sz w:val="20"/>
        </w:rPr>
        <w:t>[11]</w:t>
      </w:r>
    </w:p>
    <w:p>
      <w:r>
        <w:rPr>
          <w:rFonts w:ascii="Gentium Plus" w:hAnsi="Gentium Plus"/>
          <w:sz w:val="24"/>
        </w:rPr>
        <w:t>Just. Ep. ad Menam (p. 210, 28—211, 7 Schw.): Περὶ τῆς προϋπ‐ άρξεως τῶν ψυχῶν, ἐκ τοῦ πρώτου λόγου τοῦ Περὶ ἀρχῶν βιβλίου. →Ἐξ ἰδίας αἰτίας τῶν μὴ προσεχόντων ἑαυτοῖς ἀγρύπνως γίνονται τάχιον ἢ βράδιον μεταπτώσεις, καὶ ἐπὶ πλεῖον ἢ ἐπ’ ἔλαττον, ὡς ἀπὸ ταύτης τῆς</w:t>
      </w:r>
    </w:p>
    <w:p>
      <w:r>
        <w:rPr>
          <w:rFonts w:ascii="Courier New" w:hAnsi="Courier New"/>
          <w:color w:val="555555"/>
          <w:sz w:val="20"/>
        </w:rPr>
        <w:t>[5]</w:t>
      </w:r>
    </w:p>
    <w:p>
      <w:r>
        <w:rPr>
          <w:rFonts w:ascii="Gentium Plus" w:hAnsi="Gentium Plus"/>
          <w:sz w:val="24"/>
        </w:rPr>
        <w:t>αἰτίας, κρίσει θείᾳ συμπαραμετρούσῃ τοῖς ἑκάστου βελτίοσιν ἢ χείροσι κινήμασι καὶ τὸ κατ’ ἀξίαν, ὁ μέν τις ἕξει ἐν τῇ ἐσομένῃ διακοσμήσει τάξιν ἀγγελικὴν ἢ δύναμιν ἀρχικὴν ἢ ἐξουσίαν τὴν ἐπί τινων ἢ θρόνον τὸν ἐπὶ βασι‐ λευομένων ἢ κυρείαν τὴν κατὰ δούλων· οἱ δὲ οὐ πάνυ τι ἐκπεσόντες τὴν ὑπὸ τοῖς εἰρημένοις οἰκονομίαν καὶ βοήθειαν ἕξουσι. καὶ οὕτως κατὰ</w:t>
      </w:r>
    </w:p>
    <w:p>
      <w:r>
        <w:rPr>
          <w:rFonts w:ascii="Courier New" w:hAnsi="Courier New"/>
          <w:color w:val="555555"/>
          <w:sz w:val="20"/>
        </w:rPr>
        <w:t>[10]</w:t>
      </w:r>
    </w:p>
    <w:p>
      <w:r>
        <w:rPr>
          <w:rFonts w:ascii="Gentium Plus" w:hAnsi="Gentium Plus"/>
          <w:sz w:val="24"/>
        </w:rPr>
        <w:t>μὲν τὸ πλεῖστον ἀπὸ τῶν ὑπὸ τὰς ἀρχὰς καὶ τὰς ἐξουσίας καὶ τοὺς θρόνους καὶ τὰς κυριότητας, τάχα δὲ ἔσθ’ ὅτε καὶ ἀπ’ αὐτῶν συστήσεται τὸ τῶν</w:t>
      </w:r>
    </w:p>
    <w:p>
      <w:r>
        <w:rPr>
          <w:rFonts w:ascii="Courier New" w:hAnsi="Courier New"/>
          <w:color w:val="555555"/>
          <w:sz w:val="20"/>
        </w:rPr>
        <w:t>[12]</w:t>
      </w:r>
    </w:p>
    <w:p>
      <w:r>
        <w:rPr>
          <w:rFonts w:ascii="Gentium Plus" w:hAnsi="Gentium Plus"/>
          <w:sz w:val="24"/>
        </w:rPr>
        <w:t>Just. Ep. ad Menam (p. 211, 8—12 Schw.): Ἐκ τοῦ αὐτοῦ (scil. πρώτου) λόγου, ὅτι εἰ μεταβάλοιεν ἐπὶ τὸ κρεῖττον οἱ δαίμονες, συμπλη‐ ρώσουσί ποτε ἀνθρωπότητα. →Οἶμαι δὲ δύνασθαι ἀπὸ τῶν ὑποτεταγμέ‐ νων τοῖς χείροσιν ἀρχαῖς καὶ ἐξουσίαις καὶ κοσμοκράτορσι καθ’ ἕκαστον</w:t>
      </w:r>
    </w:p>
    <w:p>
      <w:r>
        <w:rPr>
          <w:rFonts w:ascii="Courier New" w:hAnsi="Courier New"/>
          <w:color w:val="555555"/>
          <w:sz w:val="20"/>
        </w:rPr>
        <w:t>[5]</w:t>
      </w:r>
    </w:p>
    <w:p>
      <w:r>
        <w:rPr>
          <w:rFonts w:ascii="Gentium Plus" w:hAnsi="Gentium Plus"/>
          <w:sz w:val="24"/>
        </w:rPr>
        <w:t>κόσμον ἤ τινας κόσμους ἐνίους τάχιον, 〈ἐνίους δὲ βράδιον〉 εὐεργετου‐ μένους καὶ βουλησομένους ἐξ αὑτῶν μεταβαλεῖν συμπληρώσειν ποτὲ</w:t>
      </w:r>
    </w:p>
    <w:p>
      <w:r>
        <w:rPr>
          <w:rFonts w:ascii="Courier New" w:hAnsi="Courier New"/>
          <w:color w:val="555555"/>
          <w:sz w:val="20"/>
        </w:rPr>
        <w:t>[13]</w:t>
      </w:r>
    </w:p>
    <w:p>
      <w:r>
        <w:rPr>
          <w:rFonts w:ascii="Gentium Plus" w:hAnsi="Gentium Plus"/>
          <w:sz w:val="24"/>
        </w:rPr>
        <w:t>Just. Ep. ad Menam (p. 212, 20—23 Schw.): Ἐκ τοῦ πρώτου λόγου τοῦ αὐτοῦ βιβλίου, ὅτι ἔμψυχος ὁ ἥλιος καὶ ἡ σελήνη καὶ οἱ ἀστέρες. →Ὅτι δὲ πρεσβυτέρα ἡ ψυχὴ τοῦ ἡλίου τῆς ἐνδέσεως αὐτοῦ τῆς εἰς τὸ σῶμα, μετὰ τὸ συλλογίσασθαι ἐκ συγκρίσεως ἀνθρώπου τῆς πρὸς αὐτὸν καὶ ἐντεῦθεν</w:t>
      </w:r>
    </w:p>
    <w:p>
      <w:r>
        <w:rPr>
          <w:rFonts w:ascii="Courier New" w:hAnsi="Courier New"/>
          <w:color w:val="555555"/>
          <w:sz w:val="20"/>
        </w:rPr>
        <w:t>[5]</w:t>
      </w:r>
    </w:p>
    <w:p>
      <w:r>
        <w:rPr>
          <w:rFonts w:ascii="Gentium Plus" w:hAnsi="Gentium Plus"/>
          <w:sz w:val="24"/>
        </w:rPr>
        <w:t>ἀπὸ τῶν γραφῶν οἶμαι ἀποδεῖξαι δύνασθαι.←</w:t>
      </w:r>
    </w:p>
    <w:p>
      <w:r>
        <w:rPr>
          <w:rFonts w:ascii="Courier New" w:hAnsi="Courier New"/>
          <w:color w:val="555555"/>
          <w:sz w:val="20"/>
        </w:rPr>
        <w:t>[14]</w:t>
      </w:r>
    </w:p>
    <w:p>
      <w:r>
        <w:rPr>
          <w:rFonts w:ascii="Gentium Plus" w:hAnsi="Gentium Plus"/>
          <w:sz w:val="24"/>
        </w:rPr>
        <w:t>Just. Ep. ad Menam (p. 212, 24—30 Schw.): Ἐκ τοῦ αὐτοῦ (scil. πρώτου) λόγου. →„Κάλλιον ἀναλῦσαι καὶ σὺν Χριστῷ εἶναι, πολλῷ γὰρ μᾶλλον κρεῖσσον.“ Νομίζω γὰρ ὅτι λέγοι ἂν ὁ ἥλιος ὅτι „κάλλιον ἀνα‐ λῦσαι καὶ σὺν Χριστῷ εἶναι, πολλῷ γὰρ μᾶλλον κρεῖσσον“. Καὶ ὁ</w:t>
      </w:r>
    </w:p>
    <w:p>
      <w:r>
        <w:rPr>
          <w:rFonts w:ascii="Courier New" w:hAnsi="Courier New"/>
          <w:color w:val="555555"/>
          <w:sz w:val="20"/>
        </w:rPr>
        <w:t>[5]</w:t>
      </w:r>
    </w:p>
    <w:p>
      <w:r>
        <w:rPr>
          <w:rFonts w:ascii="Gentium Plus" w:hAnsi="Gentium Plus"/>
          <w:sz w:val="24"/>
        </w:rPr>
        <w:t>μὲν Παῦλος· „ἀλλὰ τὸ ἐπιμένειν τῇ σαρκὶ ἀναγκαιότερον δι’ ὑμᾶσ“, ὁ δὲ ἥλιος· „τὸ ἐπιμένειν τῷ οὐρανίῳ τούτῳ σώματι ἀναγκαιότερον διὰ τὴν ἀποκάλυψιν τῶν τέκνων τοῦ θεοῦ“. Τὰ δὲ αὐτὰ καὶ περὶ σελήνης καὶ τῶν</w:t>
      </w:r>
    </w:p>
    <w:p>
      <w:r>
        <w:rPr>
          <w:rFonts w:ascii="Courier New" w:hAnsi="Courier New"/>
          <w:color w:val="555555"/>
          <w:sz w:val="20"/>
        </w:rPr>
        <w:t>[17b]</w:t>
      </w:r>
    </w:p>
    <w:p>
      <w:r>
        <w:rPr>
          <w:rFonts w:ascii="Gentium Plus" w:hAnsi="Gentium Plus"/>
          <w:sz w:val="24"/>
        </w:rPr>
        <w:t>Just. Ep. ad Menam (p. 211, 17—23 Schw.): Ὅτι καὶ τὸν ἔνυδρον ἔσθ’ ὅτε αἱρεῖται βίον ἡ ψυχή, ἐκ τοῦ δευτέρου λόγου τοῦ Περὶ ἀρχῶν βιβλίου. →Ἡ ψυχὴ ἀπορρέουσα τοῦ καλοῦ καὶ τῇ κακίᾳ προσκλι‐ νομένη καὶ ἐπὶ πλεῖον ἐν ταύτῃ γινομένη, εἰ μὴ ὑποστρέφοι, ὑπὸ τῆς</w:t>
      </w:r>
    </w:p>
    <w:p>
      <w:r>
        <w:rPr>
          <w:rFonts w:ascii="Courier New" w:hAnsi="Courier New"/>
          <w:color w:val="555555"/>
          <w:sz w:val="20"/>
        </w:rPr>
        <w:t>[5]</w:t>
      </w:r>
    </w:p>
    <w:p>
      <w:r>
        <w:rPr>
          <w:rFonts w:ascii="Gentium Plus" w:hAnsi="Gentium Plus"/>
          <w:sz w:val="24"/>
        </w:rPr>
        <w:t>ἀνοίας ἀποκτηνοῦται καὶ ὑπὸ τῆς πονηρίας ἀποθηριοῦται.← Καὶ μετ’ ὀλίγα· →καὶ αἱρεῖται πρὸς τὸ ἀλογωθῆναι καὶ τὸν ἔνυδρον, ἵν’ οὕτως εἴπω, βίον· καὶ τάχα κατὰ ἀξίαν τῆς ἐπὶ πλεῖον πτώσεως τῆς κακίας</w:t>
      </w:r>
    </w:p>
    <w:p>
      <w:r>
        <w:rPr>
          <w:rFonts w:ascii="Courier New" w:hAnsi="Courier New"/>
          <w:color w:val="555555"/>
          <w:sz w:val="20"/>
        </w:rPr>
        <w:t>[18]</w:t>
      </w:r>
    </w:p>
    <w:p>
      <w:r>
        <w:rPr>
          <w:rFonts w:ascii="Gentium Plus" w:hAnsi="Gentium Plus"/>
          <w:sz w:val="24"/>
        </w:rPr>
        <w:t>Just. Ep. ad Menam (p. 211, 13—16 Schw.): Περὶ τῆς τῶν ἄνωθεν</w:t>
      </w:r>
    </w:p>
    <w:p>
      <w:r>
        <w:rPr>
          <w:rFonts w:ascii="Courier New" w:hAnsi="Courier New"/>
          <w:color w:val="555555"/>
          <w:sz w:val="20"/>
        </w:rPr>
        <w:t>[5]</w:t>
      </w:r>
    </w:p>
    <w:p>
      <w:r>
        <w:rPr>
          <w:rFonts w:ascii="Gentium Plus" w:hAnsi="Gentium Plus"/>
          <w:sz w:val="24"/>
        </w:rPr>
        <w:t>τῆς ἑνάδος ἀπορρεόντων;←</w:t>
      </w:r>
    </w:p>
    <w:p>
      <w:r>
        <w:rPr>
          <w:rFonts w:ascii="Courier New" w:hAnsi="Courier New"/>
          <w:color w:val="555555"/>
          <w:sz w:val="20"/>
        </w:rPr>
        <w:t>[19]</w:t>
      </w:r>
    </w:p>
    <w:p>
      <w:r>
        <w:rPr>
          <w:rFonts w:ascii="Gentium Plus" w:hAnsi="Gentium Plus"/>
          <w:sz w:val="24"/>
        </w:rPr>
        <w:t>Just. Ep. ad Menam (p. 211, 24—27 Schw.): Ἐκ τοῦ αὐτοῦ (scil. δευτέρου) λόγου, ὅτι ἔσται τελεία τῶν σωμάτων ἀπόθεσις. →Εἰ δὲ τὰ ὑποταγέντα τῷ Χριστῷ ὑποταγήσεται ἐπὶ τέλει καὶ τῷ θεῷ, πάντες ἀποθή‐ σονται τὰ σώματα. Καὶ οἶμαι ὅτι τότε εἰς τὸ μὴ ὂν ἔσται ἀνάλυσις τῆς</w:t>
      </w:r>
    </w:p>
    <w:p>
      <w:r>
        <w:rPr>
          <w:rFonts w:ascii="Courier New" w:hAnsi="Courier New"/>
          <w:color w:val="555555"/>
          <w:sz w:val="20"/>
        </w:rPr>
        <w:t>[5]</w:t>
      </w:r>
    </w:p>
    <w:p>
      <w:r>
        <w:rPr>
          <w:rFonts w:ascii="Gentium Plus" w:hAnsi="Gentium Plus"/>
          <w:sz w:val="24"/>
        </w:rPr>
        <w:t>τῶν σωμάτων φύσεως, ὑποστησομένης δεύτερον ἐὰν πάλιν λογικὰ ὑποκα‐</w:t>
      </w:r>
    </w:p>
    <w:p>
      <w:r>
        <w:rPr>
          <w:rFonts w:ascii="Courier New" w:hAnsi="Courier New"/>
          <w:color w:val="555555"/>
          <w:sz w:val="20"/>
        </w:rPr>
        <w:t>[20]</w:t>
      </w:r>
    </w:p>
    <w:p>
      <w:r>
        <w:rPr>
          <w:rFonts w:ascii="Gentium Plus" w:hAnsi="Gentium Plus"/>
          <w:sz w:val="24"/>
        </w:rPr>
        <w:t>Just. Ep. ad Menam (p. 210, 15—20 Schw.): Ἐκ τοῦ δευτέρου λόγου τοῦ Περὶ ἀρχῶν βιβλίου, ὅτι ἄνθρωπον ψιλὸν λέγει τὸν κύριον. Διὰ τοῦτο καὶ ἄνθρωπος γέγονε Χριστός, ἐξ ἀνδραγαθήματος τούτου τυχών, ὡς μαρτυρεῖ ὁ προφήτης λέγων· „Ἠγάπησας δικαιοσύνην καὶ</w:t>
      </w:r>
    </w:p>
    <w:p>
      <w:r>
        <w:rPr>
          <w:rFonts w:ascii="Courier New" w:hAnsi="Courier New"/>
          <w:color w:val="555555"/>
          <w:sz w:val="20"/>
        </w:rPr>
        <w:t>[5]</w:t>
      </w:r>
    </w:p>
    <w:p>
      <w:r>
        <w:rPr>
          <w:rFonts w:ascii="Gentium Plus" w:hAnsi="Gentium Plus"/>
          <w:sz w:val="24"/>
        </w:rPr>
        <w:t>ἐμίσησας ἀνομίαν· διὰ τοῦτο ἔχρισέ σε ὁ θεός, ὁ θεός σου ἔλαιον ἀγαλλιά‐ σεως παρὰ τοὺς μετόχους σου“. Ἔπρεπε δὲ τὸν μηδέποτε κεχωρισ‐ μένον τοῦ μονογενοῦς συγχρηματίσαι τῷ μονογενεῖ καὶ συνδοξασθῆναι</w:t>
      </w:r>
    </w:p>
    <w:p>
      <w:r>
        <w:rPr>
          <w:rFonts w:ascii="Courier New" w:hAnsi="Courier New"/>
          <w:color w:val="555555"/>
          <w:sz w:val="20"/>
        </w:rPr>
        <w:t>[21]</w:t>
      </w:r>
    </w:p>
    <w:p>
      <w:r>
        <w:rPr>
          <w:rFonts w:ascii="Gentium Plus" w:hAnsi="Gentium Plus"/>
          <w:sz w:val="24"/>
        </w:rPr>
        <w:t>Just. Ep. ad Menam (p. 212, 9—14 Schw.): Ἐκ τοῦ αὐτοῦ (scil. δευτέρου) λόγου περὶ τοῦ αὐτοῦ. →Ὥσπερ ‘σῶσαι ἦλθεν τὸ ἀπολωλὸσ‘ ὁ σωτήρ, ὅτε μέντοι σῴζεται τὸ ἀπολωλός, οὐκέτι ἐστὶν ἀπολωλός· οὕτως ἣν σῶσαι ἦλθε ψυχήν, ὡς σῶσαι τὸ</w:t>
      </w:r>
    </w:p>
    <w:p>
      <w:r>
        <w:rPr>
          <w:rFonts w:ascii="Courier New" w:hAnsi="Courier New"/>
          <w:color w:val="555555"/>
          <w:sz w:val="20"/>
        </w:rPr>
        <w:t>[5]</w:t>
      </w:r>
    </w:p>
    <w:p>
      <w:r>
        <w:rPr>
          <w:rFonts w:ascii="Gentium Plus" w:hAnsi="Gentium Plus"/>
          <w:sz w:val="24"/>
        </w:rPr>
        <w:t>ἀπολωλός, οὐκέτι μένει ψυχὴ ἡ σωθεῖσα ψυχή. Ἔτι βασανιστέον εἰ ὥσπερ τὸ ἀπολωλὸς ἦν ὅτε οὐκ ἀπολώλει καὶ ἔσται ποτὲ ὅτε οὐκ ἔσται ἀπολωλός, οὕτω καὶ ἡ ψυχὴ ἦν ὅτε οὐκ ἦν ψυχὴ καὶ ἔσται ὅτε οὐκ ἔσται</w:t>
      </w:r>
    </w:p>
    <w:p>
      <w:r>
        <w:rPr>
          <w:rFonts w:ascii="Courier New" w:hAnsi="Courier New"/>
          <w:color w:val="555555"/>
          <w:sz w:val="20"/>
        </w:rPr>
        <w:t>[23b]</w:t>
      </w:r>
    </w:p>
    <w:p>
      <w:r>
        <w:rPr>
          <w:rFonts w:ascii="Gentium Plus" w:hAnsi="Gentium Plus"/>
          <w:sz w:val="24"/>
        </w:rPr>
        <w:t>Just. Ep. ad Menam (p. 212, 3—8 Schw.): Ἐκ τοῦ δευτέρου λόγου τοῦ Περὶ ἀρχῶν βιβλίου, πῶς νοῦς γέγονε ψυχὴ καὶ ψυχὴ καθαρθεῖσα γίνεται νοῦς. →Παρὰ τὴν ἀπόπτωσιν καὶ τὴν ψῦξιν τὴν ἀπὸ τοῦ ζῆν τῷ πνεύματι γέγονεν ἡ νῦν λεγομένη ψυχή, οὖσα καὶ δεκτικὴ τῆς ἐπανόδου</w:t>
      </w:r>
    </w:p>
    <w:p>
      <w:r>
        <w:rPr>
          <w:rFonts w:ascii="Courier New" w:hAnsi="Courier New"/>
          <w:color w:val="555555"/>
          <w:sz w:val="20"/>
        </w:rPr>
        <w:t>[5]</w:t>
      </w:r>
    </w:p>
    <w:p>
      <w:r>
        <w:rPr>
          <w:rFonts w:ascii="Gentium Plus" w:hAnsi="Gentium Plus"/>
          <w:sz w:val="24"/>
        </w:rPr>
        <w:t>τῆς ἐφ’ ὅπερ ἦν ἐν ἀρχῇ. Ὅπερ νομίζω λέγεσθαι ὑπὸ τοῦ προφήτου ἐν τῷ· „Ἐπίστρεψον, ψυχή μου, εἰς τὴν ἀνάπαυσίν σου“· ὥστε ὅλον τοῦτο</w:t>
      </w:r>
    </w:p>
    <w:p>
      <w:r>
        <w:rPr>
          <w:rFonts w:ascii="Courier New" w:hAnsi="Courier New"/>
          <w:color w:val="555555"/>
          <w:sz w:val="20"/>
        </w:rPr>
        <w:t>[24]</w:t>
      </w:r>
    </w:p>
    <w:p>
      <w:r>
        <w:rPr>
          <w:rFonts w:ascii="Gentium Plus" w:hAnsi="Gentium Plus"/>
          <w:sz w:val="24"/>
        </w:rPr>
        <w:t>Just. Ep. ad Menam (p. 190, 7—14 Schw. [= I] und p. 209, 1—6 Schw. [= II]): I Προστίθησι δὲ ταῖς ἑαυτοῦ βλασφημίαις καὶ τοῦτο ἐν τῷ Περὶ ἀρχῶν αὐτοῦ πρώτῳ λόγῳ ἐπ’ αὐτῆς λέξεως εἰπὼν οὕτως· →Ἐν τῇ ἐπινοουμένῃ ἀρχῇ τοσοῦτον ἀριθμὸν τῷ βουλήματι αὐτοῦ ὑποστῆσαι</w:t>
      </w:r>
    </w:p>
    <w:p>
      <w:r>
        <w:rPr>
          <w:rFonts w:ascii="Courier New" w:hAnsi="Courier New"/>
          <w:color w:val="555555"/>
          <w:sz w:val="20"/>
        </w:rPr>
        <w:t>[5]</w:t>
      </w:r>
    </w:p>
    <w:p>
      <w:r>
        <w:rPr>
          <w:rFonts w:ascii="Gentium Plus" w:hAnsi="Gentium Plus"/>
          <w:sz w:val="24"/>
        </w:rPr>
        <w:t>τὸν θεὸν νοερῶν οὐσιῶν ὅσον ἠδύνατο διαρκέσαι· πεπερασμένην γὰρ εἶναι καὶ τὴν δύναμιν τοῦ θεοῦ λεκτέον καὶ μὴ προφάσει εὐφημίας τὴν περιγραφὴν αὐτῆς περιαιρετέον. Ἐὰν γὰρ ἄπειρος ἡ θεία δύναμις, ἀνάγκη αὐτὴν μηδὲ ἑαυτὴν νοεῖν· τῇ γὰρ φύσει τὸ ἄπειρον ἀπερίληπτον. Πεποί‐ ηκε τοίνυν τοσαῦτα, ὧν ἠδύνατο περιδράξασθαι καὶ ἔχειν αὐτὰ ὑπὸ</w:t>
      </w:r>
    </w:p>
    <w:p>
      <w:r>
        <w:rPr>
          <w:rFonts w:ascii="Courier New" w:hAnsi="Courier New"/>
          <w:color w:val="555555"/>
          <w:sz w:val="20"/>
        </w:rPr>
        <w:t>[10]</w:t>
      </w:r>
    </w:p>
    <w:p>
      <w:r>
        <w:rPr>
          <w:rFonts w:ascii="Gentium Plus" w:hAnsi="Gentium Plus"/>
          <w:sz w:val="24"/>
        </w:rPr>
        <w:t>χεῖρας καὶ συγκροτεῖν ὑπὸ τὴν αὐτοῦ πρόνοιαν· ὥσπερ καὶ τοσαύτην ὕλην κατεσκεύασεν ὅσην ἠδύνατο κατακοσμῆσαι.← II Ὅτι πεπερασ‐ μένη ἐστιν ἡ τοῦ θεοῦ καὶ πατρὸς δύναμις, ἐκ τοῦ δευτέρου λόγου τοῦ αὐτοῦ βιβλίου. →Πεπερασμένην γὰρ εἶναι—περιαιρετέον.← Καὶ μετ’ ὀλίγα·</w:t>
      </w:r>
    </w:p>
    <w:p>
      <w:r>
        <w:rPr>
          <w:rFonts w:ascii="Courier New" w:hAnsi="Courier New"/>
          <w:color w:val="555555"/>
          <w:sz w:val="20"/>
        </w:rPr>
        <w:t>[27]</w:t>
      </w:r>
    </w:p>
    <w:p>
      <w:r>
        <w:rPr>
          <w:rFonts w:ascii="Gentium Plus" w:hAnsi="Gentium Plus"/>
          <w:sz w:val="24"/>
        </w:rPr>
        <w:t>Just. Ep. ad Menam (p. 211, 28—212, 2 Schw.): Ἐκ τοῦ τρίτου λόγου τοῦ αὐτοῦ βιβλίου περὶ τοῦ αὐτοῦ (scil. ὅτι ἔσται τελεία τῶν σωμάτων ἀπόθεσις). →Λεγομένου τοῦ θεοῦ ‘πάντα γίνεσθαι ἐν πᾶσιν‘, ὥσπερ οὐ δυνάμεθα κακίαν καταλιπεῖν, ὅτε</w:t>
      </w:r>
    </w:p>
    <w:p>
      <w:r>
        <w:rPr>
          <w:rFonts w:ascii="Courier New" w:hAnsi="Courier New"/>
          <w:color w:val="555555"/>
          <w:sz w:val="20"/>
        </w:rPr>
        <w:t>[5]</w:t>
      </w:r>
    </w:p>
    <w:p>
      <w:r>
        <w:rPr>
          <w:rFonts w:ascii="Gentium Plus" w:hAnsi="Gentium Plus"/>
          <w:sz w:val="24"/>
        </w:rPr>
        <w:t>θεὸς ‘πάντα γίνεται ἐν πᾶσιν‘, οὐδὲ ἄλογα ζῷα, ἵνα μὴ καὶ ἐν κακίᾳ ὁ θεὸς γίνηται καὶ ἐν ἀλόγοις ζῴοις, ἀλλ’ οὐδὲ ἄψυχα, ἵνα μὴ καὶ ἐν αὐτοῖς ὁ θεός, ὅτε ‘πάντα γίνεται‘, οὕτως οὐδὲ σώματα, ἅτινα τῇ ἰδίᾳ φύσει</w:t>
      </w:r>
    </w:p>
    <w:p>
      <w:r>
        <w:rPr>
          <w:rFonts w:ascii="Courier New" w:hAnsi="Courier New"/>
          <w:color w:val="555555"/>
          <w:sz w:val="20"/>
        </w:rPr>
        <w:t>[29]</w:t>
      </w:r>
    </w:p>
    <w:p>
      <w:r>
        <w:rPr>
          <w:rFonts w:ascii="Gentium Plus" w:hAnsi="Gentium Plus"/>
          <w:sz w:val="24"/>
        </w:rPr>
        <w:t>Just. Ep. ad Menam (p. 213, 8—10 Schw.): Ἐκ τοῦ αὐτοῦ (scil. τετάρτου) λόγου. →Τίς νοῦν ἔχων ὁρίσεται πρώτην καὶ δευτέραν καὶ τρίτην ἡμέραν ἑσπέραν τε καὶ πρωΐαν χωρὶς ἡλίου γεγονέναι καὶ σελήνης</w:t>
      </w:r>
    </w:p>
    <w:p>
      <w:r>
        <w:rPr>
          <w:rFonts w:ascii="Courier New" w:hAnsi="Courier New"/>
          <w:color w:val="555555"/>
          <w:sz w:val="20"/>
        </w:rPr>
        <w:t>[30]</w:t>
      </w:r>
    </w:p>
    <w:p>
      <w:r>
        <w:rPr>
          <w:rFonts w:ascii="Gentium Plus" w:hAnsi="Gentium Plus"/>
          <w:sz w:val="24"/>
        </w:rPr>
        <w:t>Just. Ep. ad Menam (p. 213, 1—7 Schw.): Ἐκ τοῦ τετάρτου λόγου τοῦ αὐτοῦ βιβλίου, ὅτι καὶ ὑπὲρ δαιμόνων δεῖ τὸν Χριστὸν σταυρωθῆναι, καὶ πολλάκις τοῦτο εἰς τοὺς ἐσομένους αἰῶνας. →Ἀλλὰ κἂν μέχρι τοῦ πάθους τις ζητήσῃ, τολμηρὸν δόξει ποιεῖν περὶ τὸν οὐράνιον τόπον αὐτὸ</w:t>
      </w:r>
    </w:p>
    <w:p>
      <w:r>
        <w:rPr>
          <w:rFonts w:ascii="Courier New" w:hAnsi="Courier New"/>
          <w:color w:val="555555"/>
          <w:sz w:val="20"/>
        </w:rPr>
        <w:t>[5]</w:t>
      </w:r>
    </w:p>
    <w:p>
      <w:r>
        <w:rPr>
          <w:rFonts w:ascii="Gentium Plus" w:hAnsi="Gentium Plus"/>
          <w:sz w:val="24"/>
        </w:rPr>
        <w:t>ζητῶν. ἀλλ’ εἰ ἔστι ‘πνευματικὰ τῆς πονηρίας ἐν τοῖς ἐπουρανίοισ‘, ὅρα εἰ ὥσπερ ἐνθάδε οὐκ αἰδούμεθα σταυρούμενον ὁμολογεῖν ἐπὶ καθαιρέσει ὧν καθεῖλε διὰ τοῦ πεπονθέναι, οὕτως κἀκεῖ τὸ παραπλήσιον διδόντες γίνεσθαι</w:t>
      </w:r>
    </w:p>
    <w:p>
      <w:r>
        <w:rPr>
          <w:rFonts w:ascii="Courier New" w:hAnsi="Courier New"/>
          <w:color w:val="555555"/>
          <w:sz w:val="20"/>
        </w:rPr>
        <w:t>[31]</w:t>
      </w:r>
    </w:p>
    <w:p>
      <w:r>
        <w:rPr>
          <w:rFonts w:ascii="Gentium Plus" w:hAnsi="Gentium Plus"/>
          <w:sz w:val="24"/>
        </w:rPr>
        <w:t>Marcell. Anc. bei Euseb. C. Marcell. I 4 (p. 21, 16—22 Kl.): ... ἐκ τῶν Ὠριγένους ῥητῶν ... ἔστιν δὲ τὰ ῥητὰ ταῦτα· →Ὥρα ἐπαναλαβόντα περὶ πατρὸς καὶ υἱοῦ καὶ ἁγίου πνεύματος ὀλίγα τῶν τότε παραλελειμμένων διεξελθεῖν· περὶ πατρός, ὡς ἀδιαίρετος ὢν καὶ ἀμέριστος υἱοῦ γίνεται</w:t>
      </w:r>
    </w:p>
    <w:p>
      <w:r>
        <w:rPr>
          <w:rFonts w:ascii="Courier New" w:hAnsi="Courier New"/>
          <w:color w:val="555555"/>
          <w:sz w:val="20"/>
        </w:rPr>
        <w:t>[5]</w:t>
      </w:r>
    </w:p>
    <w:p>
      <w:r>
        <w:rPr>
          <w:rFonts w:ascii="Gentium Plus" w:hAnsi="Gentium Plus"/>
          <w:sz w:val="24"/>
        </w:rPr>
        <w:t>πατήρ, οὐ προβαλὼν αὐτόν, ὡς οἴονταί τινες. εἰ γὰρ πρόβλημά ἐστιν ὁ υἱὸς τοῦ πατρὸς καὶ γέννημα ἐξ αὐτοῦ, ὁποῖα τὰ τῶν ζῴων γεννήματα,</w:t>
      </w:r>
    </w:p>
    <w:p>
      <w:r>
        <w:rPr>
          <w:rFonts w:ascii="Courier New" w:hAnsi="Courier New"/>
          <w:color w:val="555555"/>
          <w:sz w:val="20"/>
        </w:rPr>
        <w:t>[32]</w:t>
      </w:r>
    </w:p>
    <w:p>
      <w:r>
        <w:rPr>
          <w:rFonts w:ascii="Gentium Plus" w:hAnsi="Gentium Plus"/>
          <w:sz w:val="24"/>
        </w:rPr>
        <w:t>Just. Ep. ad Menam (p. 209, 11—15 Schw.): Ὅτι κτίσμα καὶ γενητὸς ὁ υἱός, ἐκ τοῦ αὐτοῦ τετάρτου λόγου. →Οὗτος δὴ ὁ υἱὸς ἐκ θελή‐ ματος τοῦ πατρὸς ἐγενήθη, „ὅς ἐστιν εἰκὼν τοῦ θεοῦ τοῦ ἀοράτου“ καὶ „ἀπαύγασμα τῆς δόξης αὐτοῦ χαρακτήρ τε τῆς ὑποστάσεως αὐτοῦ“, „πρω‐</w:t>
      </w:r>
    </w:p>
    <w:p>
      <w:r>
        <w:rPr>
          <w:rFonts w:ascii="Courier New" w:hAnsi="Courier New"/>
          <w:color w:val="555555"/>
          <w:sz w:val="20"/>
        </w:rPr>
        <w:t>[5]</w:t>
      </w:r>
    </w:p>
    <w:p>
      <w:r>
        <w:rPr>
          <w:rFonts w:ascii="Gentium Plus" w:hAnsi="Gentium Plus"/>
          <w:sz w:val="24"/>
        </w:rPr>
        <w:t>τότοκος πάσης κτίσεωσ“, κτίσμα, σοφία· αὐτὴ γὰρ ἡ σοφία φησίν· „ὁ</w:t>
      </w:r>
    </w:p>
    <w:p>
      <w:r>
        <w:rPr>
          <w:rFonts w:ascii="Courier New" w:hAnsi="Courier New"/>
          <w:color w:val="555555"/>
          <w:sz w:val="20"/>
        </w:rPr>
        <w:t>[33]</w:t>
      </w:r>
    </w:p>
    <w:p>
      <w:r>
        <w:rPr>
          <w:rFonts w:ascii="Gentium Plus" w:hAnsi="Gentium Plus"/>
          <w:sz w:val="24"/>
        </w:rPr>
        <w:t>Athan. De decr. Nic. syn. 27, 1—2 (p. 23, 17—30 Opitz): Περὶ δὲ τοῦ ἀιδίως συνεῖναι τὸν λόγον τῷ πατρὶ καὶ μὴ ἑτέρας οὐσίας ἢ ὑπο‐ στάσεως, ἀλλὰ τῆς τοῦ πατρὸς ἴδιον 〈γέννημα〉 αὐτὸν εἶναι, ὡς εἰρήκασιν οἱ ἐν τῇ συνόδῳ, ἐξέστω πάλιν ὑμᾶς ἀκοῦσαι καὶ παρὰ τοῦ φιλοπόνου</w:t>
      </w:r>
    </w:p>
    <w:p>
      <w:r>
        <w:rPr>
          <w:rFonts w:ascii="Courier New" w:hAnsi="Courier New"/>
          <w:color w:val="555555"/>
          <w:sz w:val="20"/>
        </w:rPr>
        <w:t>[5]</w:t>
      </w:r>
    </w:p>
    <w:p>
      <w:r>
        <w:rPr>
          <w:rFonts w:ascii="Gentium Plus" w:hAnsi="Gentium Plus"/>
          <w:sz w:val="24"/>
        </w:rPr>
        <w:t>Ὠριγένους. ἃ μὲν γὰρ ὡς ζητῶν καὶ γυμνάζων ἔγραψε, ταῦτα μὴ ὡς αὐτοῦ φρονοῦντος δεχέσθω τις, ἀλλὰ τῶν πρὸς ἔριν φιλονεικούντων ἐν τῷ ζητεῖν· ἃ δὲ ὡς ὁρίζων ἀποφαίνεται, τοῦτο τοῦ φιλοπόνου τὸ φρόνημά ἐστι. (2) μετὰ γοῦν τὰ ὡς ἐν γυμνασίᾳ λεγόμενα πρὸς τοὺς αἱρετικοὺς εὐθὺς αὐτὸς ἐπιφέρει τὰ ἴδια λέγων οὕτως· →Εἰ ἔστιν ‘εἰκὼν τοῦ θεοῦ τοῦ</w:t>
      </w:r>
    </w:p>
    <w:p>
      <w:r>
        <w:rPr>
          <w:rFonts w:ascii="Courier New" w:hAnsi="Courier New"/>
          <w:color w:val="555555"/>
          <w:sz w:val="20"/>
        </w:rPr>
        <w:t>[10]</w:t>
      </w:r>
    </w:p>
    <w:p>
      <w:r>
        <w:rPr>
          <w:rFonts w:ascii="Gentium Plus" w:hAnsi="Gentium Plus"/>
          <w:sz w:val="24"/>
        </w:rPr>
        <w:t>ἀοράτου‘, ἀόρατος εἰκών· ἐγὼ δὲ τολμήσας προσθείην ἄν, ὅτι καὶ ‘ὁμοιότησ‘ τυγχάνων τοῦ πατρὸς οὐκ ἔστιν ὅτε οὐκ ἦν. πότε γὰρ ὁ θεὸς ὁ κατὰ τὸν Ἰωάννην ‘φῶσ‘ λεγόμενος (‘ὁ θεὸσ‘ γὰρ ‘φῶς ἐστιν‘) ‘ἀπαύγασμα‘ οὐκ εἶχε τῆς ἰδίας ‘δόξησ‘, ἵνα τολμήσας τις ἀρχὴν δῷ εἶναι υἱοῦ πρότερον οὐκ ὄντος; πότε δὲ ἡ τῆς ἀρρήτου καὶ ἀκατονομάστου καὶ ἀφθέγκτου ὑποστά‐</w:t>
      </w:r>
    </w:p>
    <w:p>
      <w:r>
        <w:rPr>
          <w:rFonts w:ascii="Courier New" w:hAnsi="Courier New"/>
          <w:color w:val="555555"/>
          <w:sz w:val="20"/>
        </w:rPr>
        <w:t>[15]</w:t>
      </w:r>
    </w:p>
    <w:p>
      <w:r>
        <w:rPr>
          <w:rFonts w:ascii="Gentium Plus" w:hAnsi="Gentium Plus"/>
          <w:sz w:val="24"/>
        </w:rPr>
        <w:t>σεως τοῦ πατρὸς ‘εἰκών‘, ὁ ‘χαρακτήρ‘, 〈ὁ〉 λόγος ὁ ‘γινώσκων τὸν πατέρα‘ οὐκ ἦν; κατανοείτω γὰρ ὁ τολμῶν καὶ λέγων· ‘ἦν ποτε ὅτε οὐκ ἦν ὁ υἱόσ‘, ὅτι ἐρεῖ καὶ τό· σοφία ποτὲ οὐκ ἦν καὶ λόγος οὐκ ἦν καὶ ζωὴ οὐκ ἦν.←</w:t>
      </w:r>
    </w:p>
    <w:p>
      <w:r>
        <w:rPr>
          <w:rFonts w:ascii="Courier New" w:hAnsi="Courier New"/>
          <w:color w:val="555555"/>
          <w:sz w:val="20"/>
        </w:rPr>
        <w:t>[34]</w:t>
      </w:r>
    </w:p>
    <w:p>
      <w:r>
        <w:rPr>
          <w:rFonts w:ascii="Gentium Plus" w:hAnsi="Gentium Plus"/>
          <w:sz w:val="24"/>
        </w:rPr>
        <w:t>Athan. De decr. Nic. syn. 27, 3 (p. 23, 30—24, 3 Opitz): Καὶ πάλιν ἐν ἑτέροις οὕτω λέγει· →Ἀλλ’ οὐ θέμις ἐστὶν οὐδὲ ἀκίνδυνον διὰ τὴν ἀσθένειαν ἡμῶν τὸ ὅσον ἐφ’ ἡμῖν ἀποστερεῖσθαι τὸν θεὸν τοῦ ἀεὶ συνόντος αὐτῷ λόγου μονογενοῦς, σοφίας ὄντος, ‘ᾗ προσέχαιρεν‘· οὕτω</w:t>
      </w:r>
    </w:p>
    <w:p>
      <w:r>
        <w:rPr>
          <w:rFonts w:ascii="Courier New" w:hAnsi="Courier New"/>
          <w:color w:val="555555"/>
          <w:sz w:val="20"/>
        </w:rPr>
        <w:t>[5]</w:t>
      </w:r>
    </w:p>
    <w:p>
      <w:r>
        <w:rPr>
          <w:rFonts w:ascii="Gentium Plus" w:hAnsi="Gentium Plus"/>
          <w:sz w:val="24"/>
        </w:rPr>
        <w:t>γὰρ οὐδὲ ἀεὶ χαίρων νοηθήσεται.←</w:t>
      </w:r>
    </w:p>
    <w:p>
      <w:r>
        <w:rPr>
          <w:rFonts w:ascii="Courier New" w:hAnsi="Courier New"/>
          <w:color w:val="555555"/>
          <w:sz w:val="20"/>
        </w:rPr>
        <w:t>[36]</w:t>
      </w:r>
    </w:p>
    <w:p>
      <w:r>
        <w:rPr>
          <w:rFonts w:ascii="Gentium Plus" w:hAnsi="Gentium Plus"/>
          <w:sz w:val="24"/>
        </w:rPr>
        <w:t>Theoph. Al. Ep. pasch. II bei Theodoret Eranistes, dial. II (PG 83, 197 C): ... γράφει γὰρ οὕτως· →Οὐ δήπου γὰρ ἡ ‘τεταραγμένη‘ καὶ ‘περίλυποσ‘ οὖσα ψυχὴ ὁ ‘μονογενὴσ‘ καὶ ‘πρωτότοκος πάσης κτίσεωσ‘ ἐτύγ‐ χανεν οὖσα. ὁ γὰρ θεὸς λόγος, ὡς κρείττων τῆς ψυχῆς τυγχάνων, αὐτὸς</w:t>
      </w:r>
    </w:p>
    <w:p>
      <w:r>
        <w:rPr>
          <w:rFonts w:ascii="Courier New" w:hAnsi="Courier New"/>
          <w:color w:val="555555"/>
          <w:sz w:val="20"/>
        </w:rPr>
        <w:t>[5]</w:t>
      </w:r>
    </w:p>
    <w:p>
      <w:r>
        <w:rPr>
          <w:rFonts w:ascii="Gentium Plus" w:hAnsi="Gentium Plus"/>
          <w:sz w:val="24"/>
        </w:rPr>
        <w:t>ὁ υἱός φησιν· „ἐξουσίαν ἔχω θεῖναι αὐτήν, καὶ ἐξουσίαν ἔχω λαβεῖν αὐτήν“.← εἰ τοίνυν κρείττων ἐστὶν ὁ υἱὸς τῆς ἑαυτοῦ ψυχῆς, ὥσπερ οὖν καὶ κρείττων ὡμολόγηται, πῶς ἡ ψυχὴ τούτου ‘ἴσα θεῷ‘ καὶ ‘ἐν μορφῇ αὐτοῦ‘; αὐτὴν γὰρ εἶναι φάμενος τὴν ‘κενώσασαν ἑαυτὴν‘ καὶ ‘μορφὴν δούλου λαβοῦσαν‘, ταῖς ὑπερβολαῖς τῶν ἀσεβειῶν ἐπισημότερος τῶν ἄλλων</w:t>
      </w:r>
    </w:p>
    <w:p>
      <w:r>
        <w:rPr>
          <w:rFonts w:ascii="Courier New" w:hAnsi="Courier New"/>
          <w:color w:val="555555"/>
          <w:sz w:val="20"/>
        </w:rPr>
        <w:t>[10]</w:t>
      </w:r>
    </w:p>
    <w:p>
      <w:r>
        <w:rPr>
          <w:rFonts w:ascii="Gentium Plus" w:hAnsi="Gentium Plus"/>
          <w:sz w:val="24"/>
        </w:rPr>
        <w:t>αἱρετικῶν ἐγένετο, ὡς ἐπεσημηνάμεθα. εἰ γὰρ ‘ἐν μορφῇ θεοῦ ὑπάρχει‘ ὁ λόγος καὶ ‘ἴσα θεῷ‘ τὴν ψυχὴν τοῦ σωτῆρος οἴεται, τολμήσας οὕτω γράψαι,</w:t>
      </w:r>
    </w:p>
    <w:p>
      <w:r>
        <w:rPr>
          <w:rFonts w:ascii="Courier New" w:hAnsi="Courier New"/>
          <w:color w:val="555555"/>
          <w:sz w:val="20"/>
        </w:rPr>
        <w:t>[37]</w:t>
      </w:r>
    </w:p>
    <w:p>
      <w:r>
        <w:rPr>
          <w:rFonts w:ascii="Gentium Plus" w:hAnsi="Gentium Plus"/>
          <w:sz w:val="24"/>
        </w:rPr>
        <w:t>Theoph. Al., am gleichen Ort (PG 83, 197 AB): ... καὶ λέγων αὐτοῖς ῥήμασιν οὕτως· →Ὥσπερ ‘ὁ υἱὸς καὶ πατὴρ ἕν εἰσιν‘, οὕτω</w:t>
      </w:r>
    </w:p>
    <w:p>
      <w:r>
        <w:rPr>
          <w:rFonts w:ascii="Courier New" w:hAnsi="Courier New"/>
          <w:color w:val="555555"/>
          <w:sz w:val="20"/>
        </w:rPr>
        <w:t>[38]</w:t>
      </w:r>
    </w:p>
    <w:p>
      <w:r>
        <w:rPr>
          <w:rFonts w:ascii="Gentium Plus" w:hAnsi="Gentium Plus"/>
          <w:sz w:val="24"/>
        </w:rPr>
        <w:t>Just. Ep. ad Menam (p. 209, 7—10 Schw.): Ἐκ τοῦ τετάρτου λόγου τοῦ αὐτοῦ βιβλίου. →Μηδεὶς προσκοπτέτω τῷ λόγῳ, εἰ μέτρα ἐπιτίθεμεν καὶ τῇ τοῦ θεοῦ δυνάμει. ἄπειρα γὰρ περιλαβεῖν τῇ φύσει ἀδύνατον τυγχάνει. ἅπαξ δὲ πεπερασμένων ὄντων, ὧν περιδράττεται αὐτὸς</w:t>
      </w:r>
    </w:p>
    <w:p>
      <w:r>
        <w:rPr>
          <w:rFonts w:ascii="Courier New" w:hAnsi="Courier New"/>
          <w:color w:val="555555"/>
          <w:sz w:val="20"/>
        </w:rPr>
        <w:t>[5]</w:t>
      </w:r>
    </w:p>
    <w:p>
      <w:r>
        <w:rPr>
          <w:rFonts w:ascii="Gentium Plus" w:hAnsi="Gentium Plus"/>
          <w:sz w:val="24"/>
        </w:rPr>
        <w:t>ὁ θεός, ἀνάγκη ὅρον εἶναι μέχρι πόσων πεπερασμένων διαρκεῖ.←</w:t>
      </w:r>
    </w:p>
    <w:p>
      <w:r>
        <w:rPr>
          <w:rFonts w:ascii="Courier New" w:hAnsi="Courier New"/>
          <w:color w:val="555555"/>
          <w:sz w:val="20"/>
        </w:rPr>
        <w:t>[39]</w:t>
      </w:r>
    </w:p>
    <w:p>
      <w:r>
        <w:rPr>
          <w:rFonts w:ascii="Gentium Plus" w:hAnsi="Gentium Plus"/>
          <w:sz w:val="24"/>
        </w:rPr>
        <w:t>Just. Ep. ad Menam (p. 209, 16—23 Schw.): Ὅτι καὶ περιέχεται μετὰ τῶν ἄλλων κτισμάτων ὁ υἱὸς ὑπὸ τοῦ πατρός, καὶ κατὰ πάντα μείζων ἐστὶν ὁ πατὴρ τοῦ υἱοῦ, καὶ ἀόρατος αὐτῷ τυγχάνει, ἐκ τοῦ αὐτοῦ Περὶ ἀρχῶν τετάρτου λόγου. →Εἰ δὲ ὁ πατὴρ ἐμπεριέχει τὰ πάντα, τῶν δὲ</w:t>
      </w:r>
    </w:p>
    <w:p>
      <w:r>
        <w:rPr>
          <w:rFonts w:ascii="Courier New" w:hAnsi="Courier New"/>
          <w:color w:val="555555"/>
          <w:sz w:val="20"/>
        </w:rPr>
        <w:t>[5]</w:t>
      </w:r>
    </w:p>
    <w:p>
      <w:r>
        <w:rPr>
          <w:rFonts w:ascii="Gentium Plus" w:hAnsi="Gentium Plus"/>
          <w:sz w:val="24"/>
        </w:rPr>
        <w:t>πάντων ἐστὶν ὁ υἱός, δῆλον ὅτι καὶ τὸν υἱόν. ἄλλος δέ τις ζητήσει εἰ ἀληθὲς τὸ ὁμοίως τὸν θεὸν ὑφ’ ἑαυτοῦ γινώσκεσθαι τῷ γινώσκεσθαι αὐτὸν ὑπὸ τοῦ μονογενοῦς, καὶ ἀποφανεῖται ὅτι τὸ εἰρημένον „ὁ πατὴρ ὁ πέμψας με μείζων μού ἐστιν“ ἐν πᾶσιν ἀληθές· ὥστε καὶ ἐν τῷ νοεῖν ὁ πατὴρ μείζων, ὡς καὶ τρανοτέρως καὶ τελειοτέρως νοεῖται ὑφ’ ἑαυτοῦ ἢ ὑπὸ</w:t>
      </w:r>
    </w:p>
    <w:p>
      <w:r>
        <w:rPr>
          <w:rFonts w:ascii="Courier New" w:hAnsi="Courier New"/>
          <w:color w:val="555555"/>
          <w:sz w:val="20"/>
        </w:rPr>
        <w:t>[10]</w:t>
      </w:r>
    </w:p>
    <w:p>
      <w:r>
        <w:rPr>
          <w:rFonts w:ascii="Gentium Plus" w:hAnsi="Gentium Plus"/>
          <w:sz w:val="24"/>
        </w:rPr>
        <w:t>τοῦ υἱοῦ.←</w:t>
      </w:r>
    </w:p>
    <w:p>
      <w:r>
        <w:rPr>
          <w:rFonts w:ascii="Courier New" w:hAnsi="Courier New"/>
          <w:color w:val="555555"/>
          <w:sz w:val="20"/>
        </w:rPr>
        <w:t>[40]</w:t>
      </w:r>
    </w:p>
    <w:p>
      <w:r>
        <w:rPr>
          <w:rFonts w:ascii="Gentium Plus" w:hAnsi="Gentium Plus"/>
          <w:sz w:val="24"/>
        </w:rPr>
        <w:t>Just. Ep. ad Menam (p. 212, 15—19 Schw.): Ἐκ τοῦ τετάρτου λόγου. →Ἀνάγκη μὴ προηγουμένην τυγχάνειν τὴν τῶν σωμάτων φύσιν, ἀλλὰ ἐκ διαλειμμάτων ὑφίστασθαι διά τινα συμπτώματα γινόμενα περὶ τὰ λογικὰ δεόμενα σωμάτων, καὶ πάλιν τῆς ἐπανορθώσεως τελείως γινομένης</w:t>
      </w:r>
    </w:p>
    <w:p>
      <w:r>
        <w:rPr>
          <w:rFonts w:ascii="Courier New" w:hAnsi="Courier New"/>
          <w:color w:val="555555"/>
          <w:sz w:val="20"/>
        </w:rPr>
        <w:t>[5]</w:t>
      </w:r>
    </w:p>
    <w:p>
      <w:r>
        <w:rPr>
          <w:rFonts w:ascii="Gentium Plus" w:hAnsi="Gentium Plus"/>
          <w:sz w:val="24"/>
        </w:rPr>
        <w:t>εἰς τὸ μὴ εἶναι ἀναλύεσθαι ταῦτα, ὥστε τοῦτο ἀεὶ γίνεσθαι.←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