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Παρημένων ὁ ἰαμβογράφος</w:t>
      </w:r>
      <w:r>
        <w:br/>
      </w:r>
      <w:r>
        <w:rPr>
          <w:i/>
          <w:color w:val="666666"/>
          <w:sz w:val="28"/>
        </w:rPr>
        <w:t>by Parmenon the Iambic Poet</w:t>
      </w:r>
    </w:p>
    <w:p/>
    <w:p>
      <w:r>
        <w:rPr>
          <w:rFonts w:ascii="Courier New" w:hAnsi="Courier New"/>
          <w:color w:val="555555"/>
          <w:sz w:val="20"/>
        </w:rPr>
        <w:t>[604A]</w:t>
      </w:r>
    </w:p>
    <w:p>
      <w:r>
        <w:rPr>
          <w:rFonts w:ascii="Gentium Plus" w:hAnsi="Gentium Plus"/>
          <w:sz w:val="24"/>
        </w:rPr>
        <w:t>Αἰγύπτιε Ζεῦ Νεῖλ’, ἀτὰρ Κανωπῖται 〈 〉 πολῖται, Βοῦτον οἵ τε Μένδην τε, Αἰγὸς πολίχνην, καὶ Φακούσιον τεῖχος, οἵ τ’ ἄστυ Λητοῦς καὶ Κυνὸς περὶ κλῆρον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φοιτῶσι ...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