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Φλέγων ὁ Τραλλιανός</w:t>
      </w:r>
      <w:r>
        <w:br/>
      </w:r>
      <w:r>
        <w:rPr>
          <w:i/>
          <w:color w:val="666666"/>
          <w:sz w:val="28"/>
        </w:rPr>
        <w:t>by Phlegon of Tralles</w:t>
      </w:r>
    </w:p>
    <w:p/>
    <w:p>
      <w:r>
        <w:rPr>
          <w:rFonts w:ascii="Courier New" w:hAnsi="Courier New"/>
          <w:color w:val="555555"/>
          <w:sz w:val="20"/>
        </w:rPr>
        <w:t>[2b,257,T 1]</w:t>
      </w:r>
    </w:p>
    <w:p>
      <w:r>
        <w:rPr>
          <w:rFonts w:ascii="Gentium Plus" w:hAnsi="Gentium Plus"/>
          <w:sz w:val="24"/>
        </w:rPr>
        <w:t>SUID. s. Φλέγων Τραλλιανός· ἀπελεύθερος τοῦ Σεβαστοῦ Καίσαρος (οἱ δὲ Ἀδριανοῦ φασίν)· ἱστορικός. ἔγραψεν Ὀλυμπιάδας ἐν βιβλίοις ιϛ— ἔστι δὲ μέχρι τῆς σκθ ὀλυμπιάδος τὰ πραχθέντα πανταχοῦ· τὰ δὲ αὐτὰ ἐν βιβλίοις η· Ἔκφρασιν Σικελίας· Περὶ μακροβίων καὶ θαυμα‐</w:t>
      </w:r>
    </w:p>
    <w:p>
      <w:r>
        <w:rPr>
          <w:rFonts w:ascii="Courier New" w:hAnsi="Courier New"/>
          <w:color w:val="555555"/>
          <w:sz w:val="20"/>
        </w:rPr>
        <w:t>[5]</w:t>
      </w:r>
    </w:p>
    <w:p>
      <w:r>
        <w:rPr>
          <w:rFonts w:ascii="Gentium Plus" w:hAnsi="Gentium Plus"/>
          <w:sz w:val="24"/>
        </w:rPr>
        <w:t>σίων· Περὶ τῶν παρὰ Ῥωμαίοις ἑορτῶν βιβλία γ· Περὶ τῶν ἐν Ῥώμηι τόπων καὶ ὧν ἐπικέκληνται ὀνομάτων· Ἐπιτομὴν Ὀλυμπιονικῶν ἐν βιβλίοις β· καὶ ἄλλα.</w:t>
      </w:r>
    </w:p>
    <w:p>
      <w:r>
        <w:rPr>
          <w:rFonts w:ascii="Courier New" w:hAnsi="Courier New"/>
          <w:color w:val="555555"/>
          <w:sz w:val="20"/>
        </w:rPr>
        <w:t>[2b,257,T 2]</w:t>
      </w:r>
    </w:p>
    <w:p>
      <w:r>
        <w:rPr>
          <w:rFonts w:ascii="Gentium Plus" w:hAnsi="Gentium Plus"/>
          <w:sz w:val="24"/>
        </w:rPr>
        <w:t>SCRIPT. HIST. AUG. X 20, 1: legisse me apud Aelium Maurum Phle‐ gontis Hadriani libertum memini.</w:t>
      </w:r>
    </w:p>
    <w:p>
      <w:r>
        <w:rPr>
          <w:rFonts w:ascii="Courier New" w:hAnsi="Courier New"/>
          <w:color w:val="555555"/>
          <w:sz w:val="20"/>
        </w:rPr>
        <w:t>[2b,257,T 3]</w:t>
      </w:r>
    </w:p>
    <w:p>
      <w:r>
        <w:rPr>
          <w:rFonts w:ascii="Gentium Plus" w:hAnsi="Gentium Plus"/>
          <w:sz w:val="24"/>
        </w:rPr>
        <w:t>PHOT. Bibl. 97: ἀνεγνώσθη Φλέγοντος Τραλλιανοῦ, ἀπελευ‐ θέρου τοῦ αὐτοκράτορος Ἀδριανοῦ, Ὀλυμπιονικῶν καὶ Χρον[ικ]ῶν Συνα‐ γωγή. (2) προσφωνεῖ τὸ σύνταγμα πρὸς Ἀλκιβιάδην τινά, ὃς εἷς ἦν τῶν εἰς τὴν φυλακὴν τεταγμένων τοῦ Ἀδριανοῦ. (3) ἄρχεται δὲ τῆς</w:t>
      </w:r>
    </w:p>
    <w:p>
      <w:r>
        <w:rPr>
          <w:rFonts w:ascii="Courier New" w:hAnsi="Courier New"/>
          <w:color w:val="555555"/>
          <w:sz w:val="20"/>
        </w:rPr>
        <w:t>[5]</w:t>
      </w:r>
    </w:p>
    <w:p>
      <w:r>
        <w:rPr>
          <w:rFonts w:ascii="Gentium Plus" w:hAnsi="Gentium Plus"/>
          <w:sz w:val="24"/>
        </w:rPr>
        <w:t>συναγωγῆς ἀπὸ τῆς πρώτης ὀλυμπιάδος, διότι τὰ πρότερα, καθὼς καὶ οἱ ἄλλοι σχεδόν τι πάντες φασίν, οὐκ ἔτυχεν ὑπό τινος ἀκριβοῦς καὶ ἀληθοῦς ἀναγραφῆς, ἀλλὰ ἄλλο τι ἄλλος τῶν ἐπιτυχόντων καὶ οὐ συμφώνως ἔγραψαν, ὅσοις καὶ γράψαι πεφιλοτίμηται. τὴν μὲν οὖν ἀρχὴν τοῦ συγγράμματος, ὥσπερ</w:t>
      </w:r>
    </w:p>
    <w:p>
      <w:r>
        <w:rPr>
          <w:rFonts w:ascii="Courier New" w:hAnsi="Courier New"/>
          <w:color w:val="555555"/>
          <w:sz w:val="20"/>
        </w:rPr>
        <w:t>[10]</w:t>
      </w:r>
    </w:p>
    <w:p>
      <w:r>
        <w:rPr>
          <w:rFonts w:ascii="Gentium Plus" w:hAnsi="Gentium Plus"/>
          <w:sz w:val="24"/>
        </w:rPr>
        <w:t>ἔφημεν, ἀπὸ τῆς πρώτης ὀλυμπιάδος ποιεῖται· κάτεισι δέ, ὡς αὐτός φησι, μέχρι τῶν Ἀδριανοῦ χρόνων. (4) ἐμοὶ δὲ ἀνεγνώσθη μέχρι τῆς ροζ ὀλυμπιάδος (F 12) ........... μέχρι μὲν οὖν ταύτης μοι τῆς ὀλυμπιάδος ἐν λόγοις πέντε ἡ ἀνάγνωσις γέγονεν.</w:t>
      </w:r>
    </w:p>
    <w:p>
      <w:r>
        <w:rPr>
          <w:rFonts w:ascii="Courier New" w:hAnsi="Courier New"/>
          <w:color w:val="555555"/>
          <w:sz w:val="20"/>
        </w:rPr>
        <w:t>[15]</w:t>
      </w:r>
    </w:p>
    <w:p>
      <w:r>
        <w:rPr>
          <w:rFonts w:ascii="Gentium Plus" w:hAnsi="Gentium Plus"/>
          <w:sz w:val="24"/>
        </w:rPr>
        <w:t>(5) ἔστι δὲ τὴν φράσιν οὔτε λίαν χαμαιπετὴς οὔτε τὸν Ἀττικὸν ἐς τὸ ἀκριβὲς διασώζων χαρακτῆρα. ἄλλως τε δὴ καὶ ἡ περὶ τὰς ὀλυμπιάδας καὶ τὰ ἐν αὐταῖς τῶν ἀγωνισμάτων ὀνόματα καὶ πράξεις καὶ ἡ περὶ τοὺς χρησμοὺς ἄκαιρος φιλοπονία τε καὶ φιλοτιμία, εἰς κόρον ἀπάγουσα τὸν ἀκροατὴν καὶ μηδὲν ἄλλο τῶν ἐν τῶι λόγωι σχεδόν τι προκύπτειν συγχω‐</w:t>
      </w:r>
    </w:p>
    <w:p>
      <w:r>
        <w:rPr>
          <w:rFonts w:ascii="Courier New" w:hAnsi="Courier New"/>
          <w:color w:val="555555"/>
          <w:sz w:val="20"/>
        </w:rPr>
        <w:t>[20]</w:t>
      </w:r>
    </w:p>
    <w:p>
      <w:r>
        <w:rPr>
          <w:rFonts w:ascii="Gentium Plus" w:hAnsi="Gentium Plus"/>
          <w:sz w:val="24"/>
        </w:rPr>
        <w:t>ροῦσα, ἀηδῆ τε τὸν λόγον δεικνύει καὶ χάριτος οὐδὲν ἔχειν παρατίθησι.</w:t>
      </w:r>
    </w:p>
    <w:p>
      <w:r>
        <w:rPr>
          <w:rFonts w:ascii="Courier New" w:hAnsi="Courier New"/>
          <w:color w:val="555555"/>
          <w:sz w:val="20"/>
        </w:rPr>
        <w:t>[2b,257,T 5]</w:t>
      </w:r>
    </w:p>
    <w:p>
      <w:r>
        <w:rPr>
          <w:rFonts w:ascii="Gentium Plus" w:hAnsi="Gentium Plus"/>
          <w:sz w:val="24"/>
        </w:rPr>
        <w:t>SCRIPT. HIST. AUG. I 16, 1: famae celebris Hadrianus tam cupidus fuit, ut libros vitae suae scriptos a se libertis suis litteratis dederit iubens, ut eos suis nominibus publicarent. nam et Phlegontis libri Hadriani</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