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Πολύαινος ὁ Μακεδών</w:t>
      </w:r>
      <w:r>
        <w:br/>
      </w:r>
      <w:r>
        <w:rPr>
          <w:i/>
          <w:color w:val="666666"/>
          <w:sz w:val="28"/>
        </w:rPr>
        <w:t>by Polyaenus of Macedonia</w:t>
      </w:r>
    </w:p>
    <w:p/>
    <w:p>
      <w:r>
        <w:rPr>
          <w:rFonts w:ascii="Courier New" w:hAnsi="Courier New"/>
          <w:color w:val="555555"/>
          <w:sz w:val="20"/>
        </w:rPr>
        <w:t>[3c,639,F 1*]</w:t>
      </w:r>
    </w:p>
    <w:p>
      <w:r>
        <w:rPr>
          <w:rFonts w:ascii="Gentium Plus" w:hAnsi="Gentium Plus"/>
          <w:sz w:val="24"/>
        </w:rPr>
        <w:t>SYNKELL. p. 286, 8 (= 609 F 28 p. 109, 6 ff.): οὗτος ὁ Ἀμενῶφθίς ἐστιν ὁ Μέμνων εἶναι νομιζόμενος καὶ φθεγγόμενος λίθος, ὃν λίθον χρόνοις ὕστερον Καμβύσης ὁ Περσῶν τέμνει, νομίζων εἶναι γοητείαν ἐν αὐτῶι, ὡς Πολύαινος ὁ Ἀθηναῖος ἱστορεῖ.</w:t>
      </w:r>
    </w:p>
    <w:p>
      <w:r>
        <w:rPr>
          <w:rFonts w:ascii="Courier New" w:hAnsi="Courier New"/>
          <w:color w:val="555555"/>
          <w:sz w:val="20"/>
        </w:rPr>
        <w:t>[3c,639,F 2]</w:t>
      </w:r>
    </w:p>
    <w:p>
      <w:r>
        <w:rPr>
          <w:rFonts w:ascii="Gentium Plus" w:hAnsi="Gentium Plus"/>
          <w:sz w:val="24"/>
        </w:rPr>
        <w:t>Π. ΣΥΝΤΑΞ. p. 129, 31 Bkr.: ἀφικόμην· γενικῆι· Πολυαίνου Μέμνων «τὰ</w:t>
      </w:r>
    </w:p>
    <w:p>
      <w:r>
        <w:rPr>
          <w:rFonts w:ascii="Courier New" w:hAnsi="Courier New"/>
          <w:color w:val="555555"/>
          <w:sz w:val="20"/>
        </w:rPr>
        <w:t>[3c,639,F 3]</w:t>
      </w:r>
    </w:p>
    <w:p>
      <w:r>
        <w:rPr>
          <w:rFonts w:ascii="Gentium Plus" w:hAnsi="Gentium Plus"/>
          <w:sz w:val="24"/>
        </w:rPr>
        <w:t>Π. ΣΥΝΤΑΞ. p. 130, 1 Bkr.: ἀπαγορεύω· δοτικῆι· τοῦ αὐτοῦ «ἐγὼ μὲν ἀπα‐ γορεύω τῶι πόνωι».</w:t>
      </w:r>
    </w:p>
    <w:p>
      <w:r>
        <w:rPr>
          <w:rFonts w:ascii="Courier New" w:hAnsi="Courier New"/>
          <w:color w:val="555555"/>
          <w:sz w:val="20"/>
        </w:rPr>
        <w:t>[3c,639,F 4]</w:t>
      </w:r>
    </w:p>
    <w:p>
      <w:r>
        <w:rPr>
          <w:rFonts w:ascii="Gentium Plus" w:hAnsi="Gentium Plus"/>
          <w:sz w:val="24"/>
        </w:rPr>
        <w:t>STOB. Flor. 4, 1 (Περὶ πολιτείας), 41: Πολυαίνου ἐν τῶι Ὑπὲρ τοῦ συνεδρίου· «οὐ γὰρ ἀγνοεῖς, ὡς ἐν τοῖς κοινοῖς κἂν τοὐλάχιστόν τις παρέληται, ἀφορμὴ τῆς τῶν πλειόνων ἀπωλείας γίνεται».</w:t>
      </w:r>
    </w:p>
    <w:p>
      <w:r>
        <w:rPr>
          <w:rFonts w:ascii="Courier New" w:hAnsi="Courier New"/>
          <w:color w:val="555555"/>
          <w:sz w:val="20"/>
        </w:rPr>
        <w:t>[3c,639,F 5]</w:t>
      </w:r>
    </w:p>
    <w:p>
      <w:r>
        <w:rPr>
          <w:rFonts w:ascii="Gentium Plus" w:hAnsi="Gentium Plus"/>
          <w:sz w:val="24"/>
        </w:rPr>
        <w:t>STOB. Flor. 4, 1, 53: ἐκ τοῦ Πολυαίνου Ὑπὲρ τοῦ κοινοῦ τῶν Μακεδόνων· «πρὸς μὲν δὴ τὸ μικρὸν τέλος φήμ’ ἔγωγε, ἀλλὰ τὸ ἔθος μέγα. ἔστι δὲ ὁ λόγος οὐ περὶ τῆς ποσότητος ἀλλὰ περὶ τοῦ δικαίου· καὶ πρόδηλον, ὡς ἀεὶ τὰ πονηρὰ τῶν ἐθῶν ἄρχεται μὲν ἀπὸ μικρῶν, ἀμελούμενα δὲ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τὴν ἰσχὺν μείζω λαμβάνει».</w:t>
      </w:r>
    </w:p>
    <w:p>
      <w:r>
        <w:rPr>
          <w:rFonts w:ascii="Courier New" w:hAnsi="Courier New"/>
          <w:color w:val="555555"/>
          <w:sz w:val="20"/>
        </w:rPr>
        <w:t>[3c,639,F 6]</w:t>
      </w:r>
    </w:p>
    <w:p>
      <w:r>
        <w:rPr>
          <w:rFonts w:ascii="Gentium Plus" w:hAnsi="Gentium Plus"/>
          <w:sz w:val="24"/>
        </w:rPr>
        <w:t>STOB. Flor. 4, 1, 55: ἐκ τοῦ Πολυαίνου Ὑπὲρ Μακεδόνων· «οὐκ εἰδὼς ὅτι πᾶν τὸ νεωτεριζόμενον ἐν ταῖς πολιτείαις ἀρχὴ δυνάμεως μείζονος γί‐ νεται· ἄνδρας δὲ γεωργοὺς οὐκ ὀξεῖα τῶν κοινῶν ἀδικημάτων ἡ αἴσθησις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