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Πολύκλειτος ὁ Ἀργεῖος</w:t>
      </w:r>
      <w:r>
        <w:br/>
      </w:r>
      <w:r>
        <w:rPr>
          <w:i/>
          <w:color w:val="666666"/>
          <w:sz w:val="28"/>
        </w:rPr>
        <w:t>by Polykleitos of Argos</w:t>
      </w:r>
    </w:p>
    <w:p/>
    <w:p>
      <w:r>
        <w:rPr>
          <w:rFonts w:ascii="Courier New" w:hAnsi="Courier New"/>
          <w:color w:val="555555"/>
          <w:sz w:val="20"/>
        </w:rPr>
        <w:t>[1]</w:t>
      </w:r>
    </w:p>
    <w:p>
      <w:r>
        <w:rPr>
          <w:rFonts w:ascii="Gentium Plus" w:hAnsi="Gentium Plus"/>
          <w:sz w:val="24"/>
        </w:rPr>
        <w:t>PLATO Prot. 311 c εἰ δὲ παρὰ Πολύκλειτον τὸν Ἀργεῖον ἢ Φειδίαν τὸν Ἀθηναῖον ἐπενόεις ἀφικόμενος μισθὸν ὑπὲρ σαυτοῦ τελεῖν ἐκείνοις κτλ. 328 c ἐπεὶ καὶ οἱ Πολυκλείτου υἱεῖς, Παράλου καὶ Ξανθίππου τοῦδε ἡλικιῶται, οὐδὲν πρὸς τὸν πατέρα εἰσί.</w:t>
      </w:r>
    </w:p>
    <w:p>
      <w:r>
        <w:rPr>
          <w:rFonts w:ascii="Courier New" w:hAnsi="Courier New"/>
          <w:color w:val="555555"/>
          <w:sz w:val="20"/>
        </w:rPr>
        <w:t>[2]</w:t>
      </w:r>
    </w:p>
    <w:p>
      <w:r>
        <w:rPr>
          <w:rFonts w:ascii="Gentium Plus" w:hAnsi="Gentium Plus"/>
          <w:sz w:val="24"/>
        </w:rPr>
        <w:t>PLIN. N. H. 34, 55 Polyclitus Sicyonius, Hageladae discipulus, diadumenum fecit molliter iuvenem centum talentis nobilitatum; idem et doryphorum viriliter puerum. fecit et quem Canona artifices vocant linia‐ menta artis ex eo petentes veluti a lege quadam, solusque hominum artem</w:t>
      </w:r>
    </w:p>
    <w:p>
      <w:r>
        <w:rPr>
          <w:rFonts w:ascii="Courier New" w:hAnsi="Courier New"/>
          <w:color w:val="555555"/>
          <w:sz w:val="20"/>
        </w:rPr>
        <w:t>[5]</w:t>
      </w:r>
    </w:p>
    <w:p>
      <w:r>
        <w:rPr>
          <w:rFonts w:ascii="Gentium Plus" w:hAnsi="Gentium Plus"/>
          <w:sz w:val="24"/>
        </w:rPr>
        <w:t>ipsam fecisse artis opere iudicatur.</w:t>
      </w:r>
    </w:p>
    <w:p>
      <w:r>
        <w:rPr>
          <w:rFonts w:ascii="Courier New" w:hAnsi="Courier New"/>
          <w:color w:val="555555"/>
          <w:sz w:val="20"/>
        </w:rPr>
        <w:t>[3]</w:t>
      </w:r>
    </w:p>
    <w:p>
      <w:r>
        <w:rPr>
          <w:rFonts w:ascii="Gentium Plus" w:hAnsi="Gentium Plus"/>
          <w:sz w:val="24"/>
        </w:rPr>
        <w:t>GALEN. de temper. I 9 p. 42, 26 Helmr. ἡ μὲν δὴ μέθοδος αὕτη· τὸ δ’ ἀσκῆσαι γνωρίζειν ἑτοίμως ἐν ἑκάστωι γένει ζώιου καὶ κατὰ τὰ σύμπαντα τὸ μέσον οὐ τοῦ τυχόντος ἀνδρός, ἀλλ’ ἐσχάτως ἐστὶ φιλοπόνου καὶ διὰ μακρᾶς ἐμπειρίας καὶ πολλῆς γνώσεως ἁπάντων τῶν κατὰ μέρος ἐξευρίσκειν δυναμένου τὸ μέσον.</w:t>
      </w:r>
    </w:p>
    <w:p>
      <w:r>
        <w:rPr>
          <w:rFonts w:ascii="Courier New" w:hAnsi="Courier New"/>
          <w:color w:val="555555"/>
          <w:sz w:val="20"/>
        </w:rPr>
        <w:t>[5]</w:t>
      </w:r>
    </w:p>
    <w:p>
      <w:r>
        <w:rPr>
          <w:rFonts w:ascii="Gentium Plus" w:hAnsi="Gentium Plus"/>
          <w:sz w:val="24"/>
        </w:rPr>
        <w:t>οὕτω γοῦν καὶ πλάσται καὶ γραφεῖς ἀνδριαντοποιοί τε καὶ ὅλως ἀγαλματοποιοὶ τὰ κάλλιστα γράφουσι καὶ πλάττουσι καθ’ ἕκαστον εἶδος, οἷον ἄνθρωπον εὐμορ‐ φότατον ἢ ἵππον ἢ βοῦν ἢ λέοντα, τὸ μέσον ἐν ἐκείνωι τῶι γένει σκοποῦντες. καὶ πού τις ἀνδριὰς ἐπαινεῖται Πολυκλείτου Κανὼν ὀνομαζόμενος ἐκ τοῦ πάντων τῶν μορίων ἀκριβῆ τὴν πρὸς ἄλληλα συμμετρίαν ἔχειν ὀνόματος τοιούτου τυχών.</w:t>
      </w:r>
    </w:p>
    <w:p>
      <w:r>
        <w:rPr>
          <w:rFonts w:ascii="Courier New" w:hAnsi="Courier New"/>
          <w:color w:val="555555"/>
          <w:sz w:val="20"/>
        </w:rPr>
        <w:t>[10]</w:t>
      </w:r>
    </w:p>
    <w:p>
      <w:r>
        <w:rPr>
          <w:rFonts w:ascii="Gentium Plus" w:hAnsi="Gentium Plus"/>
          <w:sz w:val="24"/>
        </w:rPr>
        <w:t>de plac. Hipp. et Plat. v p. 425, 14 Müll. ἐδήλωσε [Chrysippos] γὰρ σαφῶς τοῦτο διὰ τῆς προγεγραμμένης ὀλίγον ἔμπροσθεν ῥήσεως, ἐν ἧι τὴν μὲν ὑγίειαν τοῦ σώματος ἐν θερμοῖς καὶ ψυχροῖς καὶ ξηροῖς καὶ ὑγροῖς συμμετρίαν εἶναί φησιν, ἅπερ δὴ στοιχεῖα δηλονότι τῶν σωμάτων ἐστί, τὸ δὲ κάλλος οὐκ ἐν τῆι τῶν στοι‐ χείων, ἀλλὰ ἐν τῆι τῶν μορίων συμμετρίαι συνίστασθαι νομίζει, δακτύλου πρὸς</w:t>
      </w:r>
    </w:p>
    <w:p>
      <w:r>
        <w:rPr>
          <w:rFonts w:ascii="Courier New" w:hAnsi="Courier New"/>
          <w:color w:val="555555"/>
          <w:sz w:val="20"/>
        </w:rPr>
        <w:t>[15]</w:t>
      </w:r>
    </w:p>
    <w:p>
      <w:r>
        <w:rPr>
          <w:rFonts w:ascii="Gentium Plus" w:hAnsi="Gentium Plus"/>
          <w:sz w:val="24"/>
        </w:rPr>
        <w:t>δάκτυλον δηλονότι καὶ συμπάντων αὐτῶν πρός τε μετακάρπιον καὶ καρπὸν καὶ τού‐ των πρὸς πῆχυν καὶ πήχεως πρὸς βραχίονα καὶ πάντων πρὸς πάντα, καθάπερ ἐν τῶι Πολυκλείτου Κανόνι γέγραπται. πάσας γὰρ ἐκδιδάξας ἡμᾶς ἐν ἐκείνωι τῶι συγγράμματι τὰς συμμετρίας τοῦ σώματος ὁ Π. ἔργωι τὸν λόγον ἐβεβαίωσε δημιουργήσας ἀνδριάντα κατὰ τὰ τοῦ λόγου προστάγματα καὶ καλέσας δὴ καὶ αὐτὸν</w:t>
      </w:r>
    </w:p>
    <w:p>
      <w:r>
        <w:rPr>
          <w:rFonts w:ascii="Courier New" w:hAnsi="Courier New"/>
          <w:color w:val="555555"/>
          <w:sz w:val="20"/>
        </w:rPr>
        <w:t>[20]</w:t>
      </w:r>
    </w:p>
    <w:p>
      <w:r>
        <w:rPr>
          <w:rFonts w:ascii="Gentium Plus" w:hAnsi="Gentium Plus"/>
          <w:sz w:val="24"/>
        </w:rPr>
        <w:t>τὸν ἀνδριάντα καθάπερ καὶ τὸ σύγγραμμα Κανόνα. τὸ μὲν δὴ κάλλος τοῦ σώματος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