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Ἐπιστολαί</w:t>
      </w:r>
      <w:r>
        <w:br/>
      </w:r>
      <w:r>
        <w:rPr>
          <w:i/>
          <w:color w:val="666666"/>
          <w:sz w:val="40"/>
        </w:rPr>
        <w:t>Letters</w:t>
      </w:r>
    </w:p>
    <w:p>
      <w:pPr>
        <w:jc w:val="center"/>
      </w:pPr>
      <w:r>
        <w:rPr>
          <w:rFonts w:ascii="Times New Roman" w:hAnsi="Times New Roman"/>
          <w:color w:val="1E3A70"/>
          <w:sz w:val="32"/>
        </w:rPr>
        <w:t>Σόλωνος Ἐπιστολαί</w:t>
      </w:r>
      <w:r>
        <w:br/>
      </w:r>
      <w:r>
        <w:rPr>
          <w:i/>
          <w:color w:val="666666"/>
          <w:sz w:val="28"/>
        </w:rPr>
        <w:t>by Solon Letters</w:t>
      </w:r>
    </w:p>
    <w:p/>
    <w:p>
      <w:pPr>
        <w:jc w:val="center"/>
      </w:pPr>
      <w:r>
        <w:rPr>
          <w:rFonts w:ascii="Gentium Plus" w:hAnsi="Gentium Plus"/>
          <w:b/>
          <w:sz w:val="24"/>
        </w:rPr>
        <w:t>Περιάνδρῳ.</w:t>
      </w:r>
    </w:p>
    <w:p>
      <w:r>
        <w:rPr>
          <w:rFonts w:ascii="Courier New" w:hAnsi="Courier New"/>
          <w:color w:val="555555"/>
          <w:sz w:val="20"/>
        </w:rPr>
        <w:t>[1]</w:t>
      </w:r>
    </w:p>
    <w:p>
      <w:r>
        <w:rPr>
          <w:rFonts w:ascii="Gentium Plus" w:hAnsi="Gentium Plus"/>
          <w:sz w:val="24"/>
        </w:rPr>
        <w:t>Ἀπαγγέλλεις μοι πολλούς τοι ἐπιβουλεύειν. σὺ δὲ εἰ μὲν μέλλεις ἐκποδὼν ἅπαντας ποιήσεσθαι, οὐκ ἂν φθάνοις. ἐπιβουλεύσειε δ’ ἄν τις καὶ τῶν ἀνυπόπτων, ὃ μὲν δεδιὼς περὶ αὑτῷ, ὃ δὲ σοῦ καταγνοὺς οὐκ ἔσθ’</w:t>
      </w:r>
    </w:p>
    <w:p>
      <w:r>
        <w:rPr>
          <w:rFonts w:ascii="Courier New" w:hAnsi="Courier New"/>
          <w:color w:val="555555"/>
          <w:sz w:val="20"/>
        </w:rPr>
        <w:t>[5]</w:t>
      </w:r>
    </w:p>
    <w:p>
      <w:r>
        <w:rPr>
          <w:rFonts w:ascii="Gentium Plus" w:hAnsi="Gentium Plus"/>
          <w:sz w:val="24"/>
        </w:rPr>
        <w:t>ὅ τι οὐκ ὀρρωδοῦντος. κἂν τῇ πόλει χάριν κατάθοιτο ἐξευρών, ἢν μὴ ὕποπτος εἴης. ἄριστον μὲν οὖν ἀπέ‐ χεσθαι, ἵνα τῆς αἰτίας ἀπαλλαγῇς. εἰ δὲ πάντως τυραννητέον, φροντίζειν ὅπως τὴν ἀλλοδαπὴν δύναμιν μείζονα ἕξεις τῶν ἐν τῇ πόλει, καὶ οὐδεὶς ἔτι τοι δει‐</w:t>
      </w:r>
    </w:p>
    <w:p>
      <w:r>
        <w:rPr>
          <w:rFonts w:ascii="Courier New" w:hAnsi="Courier New"/>
          <w:color w:val="555555"/>
          <w:sz w:val="20"/>
        </w:rPr>
        <w:t>[10]</w:t>
      </w:r>
    </w:p>
    <w:p>
      <w:r>
        <w:rPr>
          <w:rFonts w:ascii="Gentium Plus" w:hAnsi="Gentium Plus"/>
          <w:sz w:val="24"/>
        </w:rPr>
        <w:t>νός, μηδὲ σὺ ἐκποδών τινα ποιοῦ.</w:t>
      </w:r>
    </w:p>
    <w:p>
      <w:pPr>
        <w:jc w:val="center"/>
      </w:pPr>
      <w:r>
        <w:rPr>
          <w:rFonts w:ascii="Gentium Plus" w:hAnsi="Gentium Plus"/>
          <w:b/>
          <w:sz w:val="24"/>
        </w:rPr>
        <w:t>Ἐπιμενίδῃ.</w:t>
      </w:r>
    </w:p>
    <w:p>
      <w:r>
        <w:rPr>
          <w:rFonts w:ascii="Courier New" w:hAnsi="Courier New"/>
          <w:color w:val="555555"/>
          <w:sz w:val="20"/>
        </w:rPr>
        <w:t>[1]</w:t>
      </w:r>
    </w:p>
    <w:p>
      <w:r>
        <w:rPr>
          <w:rFonts w:ascii="Gentium Plus" w:hAnsi="Gentium Plus"/>
          <w:sz w:val="24"/>
        </w:rPr>
        <w:t>Οὔτε οἱ ἐμοὶ θεσμοὶ ἄρα Ἀθηναίους ἐπιπολὺ ὀνή‐ σειν ἔμελλον, οὔτε σὺ καθήρας τὴν πόλιν ὤνησας. τό τε γὰρ θεῖον καὶ οἱ νομοθέται οὐ καθ’ ἑαυτὰ δύνανται ὀνῆσαι τὰς πόλεις, οἱ δὲ ἀεὶ τὸ πλῆθος ἄγοντες ὅπως ἂν</w:t>
      </w:r>
    </w:p>
    <w:p>
      <w:r>
        <w:rPr>
          <w:rFonts w:ascii="Courier New" w:hAnsi="Courier New"/>
          <w:color w:val="555555"/>
          <w:sz w:val="20"/>
        </w:rPr>
        <w:t>[5]</w:t>
      </w:r>
    </w:p>
    <w:p>
      <w:r>
        <w:rPr>
          <w:rFonts w:ascii="Gentium Plus" w:hAnsi="Gentium Plus"/>
          <w:sz w:val="24"/>
        </w:rPr>
        <w:t>γνώμης ἔχωσιν. οὕτω δὲ καὶ τὸ θεῖον καὶ οἱ νόμοι εὖ μὲν ἀγόντων εἰσὶν ὠφέλιμοι, κακῶς δὲ ἀγόντων οὐδὲν ὠφελοῦσιν. οὐδ’ οἱ ἐμοὶ ἀμείνους εἰσὶ καὶ ὅσα ἐγὼ ἐνομοθέτησα, οἱ δ’ ἐπιτρέποντες τὸ ξυνὸν ἔβλα‐ πτον, οἳ οὐκ ἐγένοντο ἐμποδὼν Πεισιστράτῳ ἐπιθέσθαι</w:t>
      </w:r>
    </w:p>
    <w:p>
      <w:r>
        <w:rPr>
          <w:rFonts w:ascii="Courier New" w:hAnsi="Courier New"/>
          <w:color w:val="555555"/>
          <w:sz w:val="20"/>
        </w:rPr>
        <w:t>[10]</w:t>
      </w:r>
    </w:p>
    <w:p>
      <w:r>
        <w:rPr>
          <w:rFonts w:ascii="Gentium Plus" w:hAnsi="Gentium Plus"/>
          <w:sz w:val="24"/>
        </w:rPr>
        <w:t>τυραννίδι. οὐδ’ ἐγὼ προλέγων πιστὸς ἦν, ἐκεῖνος δὲ πιστότερος κολακεύων Ἀθηναίους ἐμοῦ ἀληθεύοντος. ἐγὼ δὴ θέμενος πρὸ τοῦ στρατηγείου τὰ ὅπλα εἶπον τῶν μὲν μὴ αἰσθανομένων Πεισίστρατον τυραννη‐ σείοντα εἶναι ξυνετώτερος, τῶν δὲ ὀκνούντων ἀμύ‐</w:t>
      </w:r>
    </w:p>
    <w:p>
      <w:r>
        <w:rPr>
          <w:rFonts w:ascii="Courier New" w:hAnsi="Courier New"/>
          <w:color w:val="555555"/>
          <w:sz w:val="20"/>
        </w:rPr>
        <w:t>[15]</w:t>
      </w:r>
    </w:p>
    <w:p>
      <w:r>
        <w:rPr>
          <w:rFonts w:ascii="Gentium Plus" w:hAnsi="Gentium Plus"/>
          <w:sz w:val="24"/>
        </w:rPr>
        <w:t>νεσθαι ἀλκιμώτερος. οἳ δὲ μανίαν Σόλωνος κατεγί‐ νωσκον. τελευτῶν δὲ ἐμαρτυράμην «ὦ πατρίς, οὗτος μὲν Σόλων ἕτοιμός τοι καὶ λόγῳ καὶ ἔργῳ ἀμύνειν, τοῖς δ’ αὖ καὶ μαίνεσθαι δοκῶ, ὥστε ἄπειμί τοι ἐκ μέσου ὁ μόνος ἐχθρὸς Πεισιστράτου. οἳ δὲ καὶ δορυ‐</w:t>
      </w:r>
    </w:p>
    <w:p>
      <w:r>
        <w:rPr>
          <w:rFonts w:ascii="Courier New" w:hAnsi="Courier New"/>
          <w:color w:val="555555"/>
          <w:sz w:val="20"/>
        </w:rPr>
        <w:t>[20]</w:t>
      </w:r>
    </w:p>
    <w:p>
      <w:r>
        <w:rPr>
          <w:rFonts w:ascii="Gentium Plus" w:hAnsi="Gentium Plus"/>
          <w:sz w:val="24"/>
        </w:rPr>
        <w:t>φορούντων αὐτόν, εἴ τι βούλονται.» ἴσθι γὰρ τὸν ἄν‐ δρα, ὦ ἑταῖρε, δεινότατα ἁψάμενον τῆς τυραννίδος. ἤρξατο μὲν δημαγωγεῖν, εἶτα δὲ ἑαυτῷ τραύματα ποιήσας, παρελθὼν ἐφ’ ἡλιαίαν ἐβόα φάμενος πεπον‐ θέναι ταῦτα ὑπὸ τῶν ἐχθρῶν, καὶ φύλακας ἠξίου πα‐</w:t>
      </w:r>
    </w:p>
    <w:p>
      <w:r>
        <w:rPr>
          <w:rFonts w:ascii="Courier New" w:hAnsi="Courier New"/>
          <w:color w:val="555555"/>
          <w:sz w:val="20"/>
        </w:rPr>
        <w:t>[25]</w:t>
      </w:r>
    </w:p>
    <w:p>
      <w:r>
        <w:rPr>
          <w:rFonts w:ascii="Gentium Plus" w:hAnsi="Gentium Plus"/>
          <w:sz w:val="24"/>
        </w:rPr>
        <w:t>ρασχεῖν οἱ τετρακοσίους τοὺς νεωτάτους. οἳ δὲ ἀνη‐ κουστήσαντές μου παρέσχον τοὺς ἄνδρας. οὗτοι δὲ ἦσαν κορυνηφόροι. καὶ μετὰ τοῦτο τὸν δῆμον κατέλυ‐ σεν. ἦ μάτην ἔσπευδον ἀπαλλάξαι τοὺς πένητας αὐτῶν τῆς θητείας, οἵ γε δὴ νῦν ξύμπαντες ἑνὶ δου‐</w:t>
      </w:r>
    </w:p>
    <w:p>
      <w:r>
        <w:rPr>
          <w:rFonts w:ascii="Courier New" w:hAnsi="Courier New"/>
          <w:color w:val="555555"/>
          <w:sz w:val="20"/>
        </w:rPr>
        <w:t>[30]</w:t>
      </w:r>
    </w:p>
    <w:p>
      <w:r>
        <w:rPr>
          <w:rFonts w:ascii="Gentium Plus" w:hAnsi="Gentium Plus"/>
          <w:sz w:val="24"/>
        </w:rPr>
        <w:t>λεύουσι Πεισιστράτῳ.</w:t>
      </w:r>
    </w:p>
    <w:p>
      <w:pPr>
        <w:jc w:val="center"/>
      </w:pPr>
      <w:r>
        <w:rPr>
          <w:rFonts w:ascii="Gentium Plus" w:hAnsi="Gentium Plus"/>
          <w:b/>
          <w:sz w:val="24"/>
        </w:rPr>
        <w:t>Πεισιστράτῳ.</w:t>
      </w:r>
    </w:p>
    <w:p>
      <w:r>
        <w:rPr>
          <w:rFonts w:ascii="Courier New" w:hAnsi="Courier New"/>
          <w:color w:val="555555"/>
          <w:sz w:val="20"/>
        </w:rPr>
        <w:t>[1]</w:t>
      </w:r>
    </w:p>
    <w:p>
      <w:r>
        <w:rPr>
          <w:rFonts w:ascii="Gentium Plus" w:hAnsi="Gentium Plus"/>
          <w:sz w:val="24"/>
        </w:rPr>
        <w:t>Πιστεύω μηδὲν κακὸν ἐκ σοῦ πείσεσθαι· καὶ γὰρ πρὸ τῆς τυραννίδος φίλος σοι ἦν, καὶ νῦν οὐ μᾶλλον διάφορος ἢ τῶν ἄλλων τις Ἀθηναίων ὅτῳ μὴ ἀρέσκει τυραννίς. εἴτε δὲ ὑφ’ ἑνὸς ἄρχεσθαι ἄμεινον αὐτοῖς</w:t>
      </w:r>
    </w:p>
    <w:p>
      <w:r>
        <w:rPr>
          <w:rFonts w:ascii="Courier New" w:hAnsi="Courier New"/>
          <w:color w:val="555555"/>
          <w:sz w:val="20"/>
        </w:rPr>
        <w:t>[5]</w:t>
      </w:r>
    </w:p>
    <w:p>
      <w:r>
        <w:rPr>
          <w:rFonts w:ascii="Gentium Plus" w:hAnsi="Gentium Plus"/>
          <w:sz w:val="24"/>
        </w:rPr>
        <w:t>εἴτε δημοκρατεῖσθαι, πεπείσθω ᾗ ἑκάτερος γιγνώ‐ σκει. καί σέ φημι πάντων τυράννων εἶναι βέλτιστον. ἐπανήκειν δέ μοι Ἀθήναζε οὐ καλῶς ἔχον ὁρῶ, μή μέ τις μέμψηται, εἰ διαθεὶς Ἀθηναίοις ἰσοπολιτείαν καὶ παρὸν τυραννεῖν αὐτὸς οὐκ ἀξιώσας νῦν ἐπανελθὼν</w:t>
      </w:r>
    </w:p>
    <w:p>
      <w:r>
        <w:rPr>
          <w:rFonts w:ascii="Courier New" w:hAnsi="Courier New"/>
          <w:color w:val="555555"/>
          <w:sz w:val="20"/>
        </w:rPr>
        <w:t>[10]</w:t>
      </w:r>
    </w:p>
    <w:p>
      <w:r>
        <w:rPr>
          <w:rFonts w:ascii="Gentium Plus" w:hAnsi="Gentium Plus"/>
          <w:sz w:val="24"/>
        </w:rPr>
        <w:t>ἀρεσκοίμην οἷς σὺ πράσσεις.</w:t>
      </w:r>
    </w:p>
    <w:p>
      <w:pPr>
        <w:jc w:val="center"/>
      </w:pPr>
      <w:r>
        <w:rPr>
          <w:rFonts w:ascii="Gentium Plus" w:hAnsi="Gentium Plus"/>
          <w:b/>
          <w:sz w:val="24"/>
        </w:rPr>
        <w:t>Κροίσῳ.</w:t>
      </w:r>
    </w:p>
    <w:p>
      <w:r>
        <w:rPr>
          <w:rFonts w:ascii="Courier New" w:hAnsi="Courier New"/>
          <w:color w:val="555555"/>
          <w:sz w:val="20"/>
        </w:rPr>
        <w:t>[1]</w:t>
      </w:r>
    </w:p>
    <w:p>
      <w:r>
        <w:rPr>
          <w:rFonts w:ascii="Gentium Plus" w:hAnsi="Gentium Plus"/>
          <w:sz w:val="24"/>
        </w:rPr>
        <w:t>Ἄγαμαί σε τῆς περὶ ἡμᾶς φιλοφροσύνης, καὶ νὴ τὴν Ἀθηνᾶν, εἰ μὴ περὶ παντός μοι ἦν οἰκεῖν ἐν δημο‐ κρατίᾳ, ἐδεξάμην ἂν μᾶλλον τὴν δίαιταν ἔχειν ἐν τῇ παρὰ σοὶ βασιλείᾳ ἢ Ἀθήνησι τυραννοῦντος βιαίως</w:t>
      </w:r>
    </w:p>
    <w:p>
      <w:r>
        <w:rPr>
          <w:rFonts w:ascii="Courier New" w:hAnsi="Courier New"/>
          <w:color w:val="555555"/>
          <w:sz w:val="20"/>
        </w:rPr>
        <w:t>[5]</w:t>
      </w:r>
    </w:p>
    <w:p>
      <w:r>
        <w:rPr>
          <w:rFonts w:ascii="Gentium Plus" w:hAnsi="Gentium Plus"/>
          <w:sz w:val="24"/>
        </w:rPr>
        <w:t>Πεισιστράτου. ἀλλὰ καὶ ἡδίων ἡμῖν ἡ βιοτή, ἔνθα πᾶσι τὰ δίκαια καὶ ἴσα. ἀφίξομαι δ’ οὖν παρὰ σὲ</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