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Σύντομος Παράδοσις τῶν τρόπων τῶν σοφιστικῶν</w:t>
      </w:r>
      <w:r>
        <w:br/>
      </w:r>
      <w:r>
        <w:rPr>
          <w:i/>
          <w:color w:val="666666"/>
          <w:sz w:val="40"/>
        </w:rPr>
        <w:t>Concise Tradition of Modes of Sophistic Importunities</w:t>
      </w:r>
    </w:p>
    <w:p>
      <w:pPr>
        <w:jc w:val="center"/>
      </w:pPr>
      <w:r>
        <w:rPr>
          <w:rFonts w:ascii="Times New Roman" w:hAnsi="Times New Roman"/>
          <w:color w:val="1E3A70"/>
          <w:sz w:val="32"/>
        </w:rPr>
        <w:t>Ἀνώνυμος Ἀριστοτέλους Σοφιστικῶν Ἐλέγχων</w:t>
      </w:r>
      <w:r>
        <w:br/>
      </w:r>
      <w:r>
        <w:rPr>
          <w:i/>
          <w:color w:val="666666"/>
          <w:sz w:val="28"/>
        </w:rPr>
        <w:t>by Sophistical Refutations Anonymous</w:t>
      </w:r>
    </w:p>
    <w:p/>
    <w:p>
      <w:r>
        <w:rPr>
          <w:rFonts w:ascii="Courier New" w:hAnsi="Courier New"/>
          <w:color w:val="555555"/>
          <w:sz w:val="20"/>
        </w:rPr>
        <w:t>[t1]</w:t>
      </w:r>
    </w:p>
    <w:p>
      <w:r>
        <w:rPr>
          <w:rFonts w:ascii="Gentium Plus" w:hAnsi="Gentium Plus"/>
          <w:sz w:val="24"/>
        </w:rPr>
        <w:t>ANONYMI</w:t>
      </w:r>
    </w:p>
    <w:p>
      <w:r>
        <w:rPr>
          <w:rFonts w:ascii="Courier New" w:hAnsi="Courier New"/>
          <w:color w:val="555555"/>
          <w:sz w:val="20"/>
        </w:rPr>
        <w:t>[t2]</w:t>
      </w:r>
    </w:p>
    <w:p>
      <w:r>
        <w:rPr>
          <w:rFonts w:ascii="Gentium Plus" w:hAnsi="Gentium Plus"/>
          <w:sz w:val="24"/>
        </w:rPr>
        <w:t>CONCISA TRADITIO MODORUM SOPHISTICARUM IMPORTUNITATUM</w:t>
      </w:r>
    </w:p>
    <w:p>
      <w:r>
        <w:rPr>
          <w:rFonts w:ascii="Courier New" w:hAnsi="Courier New"/>
          <w:color w:val="555555"/>
          <w:sz w:val="20"/>
        </w:rPr>
        <w:t>[1]</w:t>
      </w:r>
    </w:p>
    <w:p>
      <w:r>
        <w:rPr>
          <w:rFonts w:ascii="Gentium Plus" w:hAnsi="Gentium Plus"/>
          <w:sz w:val="24"/>
        </w:rPr>
        <w:t>Ἐπεὶ δὲ καὶ τῶν σοφιστικῶν ἐπακοῦσαι ποθεῖς ἐνοχλήσεων, πειράσομαι καὶ τούτων τοὺς τρόπους ὡς οἷόν τε καὶ σαφῶς καὶ συντόμως σοι παραδοῦναι. Δέκα καὶ τρεῖς εἰσιν οἱ τρόποι εἰς οὓς ἅπαν ἐμπίπτει</w:t>
      </w:r>
    </w:p>
    <w:p>
      <w:r>
        <w:rPr>
          <w:rFonts w:ascii="Courier New" w:hAnsi="Courier New"/>
          <w:color w:val="555555"/>
          <w:sz w:val="20"/>
        </w:rPr>
        <w:t>[5]</w:t>
      </w:r>
    </w:p>
    <w:p>
      <w:r>
        <w:rPr>
          <w:rFonts w:ascii="Gentium Plus" w:hAnsi="Gentium Plus"/>
          <w:sz w:val="24"/>
        </w:rPr>
        <w:t>σόφισμα, καὶ οὐδὲν οὐδέποτε εὕρηται σόφισμα οὐδ’ οὐ μὴ εὑρεθῇ μὴ εἴς τινα ἤ τινας τούτων ἀναγόμενον. ὧν δέκα καὶ τριῶν ἓξ μέν εἰσιν παρὰ τὴν λέξιν, ἑπτὰ δὲ οἱ ἔξω τῆς λέξεως. εἰσὶ δὲ οἱ παρὰ τὴν λέξιν ποιοῦντες φαντασίαν τοῦ ἐλέγχειν τὸν προσδιαλεγόμενον ὁμωνυμία, ἀμφιβολία, σύνθε‐</w:t>
      </w:r>
    </w:p>
    <w:p>
      <w:r>
        <w:rPr>
          <w:rFonts w:ascii="Courier New" w:hAnsi="Courier New"/>
          <w:color w:val="555555"/>
          <w:sz w:val="20"/>
        </w:rPr>
        <w:t>[10]</w:t>
      </w:r>
    </w:p>
    <w:p>
      <w:r>
        <w:rPr>
          <w:rFonts w:ascii="Gentium Plus" w:hAnsi="Gentium Plus"/>
          <w:sz w:val="24"/>
        </w:rPr>
        <w:t>σις, διαίρεσις, σχῆμα λέξεως, προσῳδία· οἱ δὲ ἔξω τῆς λέ‐ ξεως, εἷς μὲν ὁ παρὰ τὸ συμβεβηκός, ἄλλος ὁ παρὰ τὸ μὴ ἁ‐ πλῶς λέγεσθαι ἀλλὰ πῂ ἢ πώς, ἄλλος ὁ παρὰ τὴν τοῦ ἐλέγχου ἄγνοιαν, ἄλλος ὁ παρὰ τὸ ἑπόμενον, ἄλλος ὁ παρὰ τὸ ἐν ἀρχῇ αἰτεῖσθαι, ἕκτος ὁ τὸ μὴ αἴτιον ὡς αἴτιον τιθείς, ἕβδομος</w:t>
      </w:r>
    </w:p>
    <w:p>
      <w:r>
        <w:rPr>
          <w:rFonts w:ascii="Courier New" w:hAnsi="Courier New"/>
          <w:color w:val="555555"/>
          <w:sz w:val="20"/>
        </w:rPr>
        <w:t>[15]</w:t>
      </w:r>
    </w:p>
    <w:p>
      <w:r>
        <w:rPr>
          <w:rFonts w:ascii="Gentium Plus" w:hAnsi="Gentium Plus"/>
          <w:sz w:val="24"/>
        </w:rPr>
        <w:t>ὁ παρὰ τὸ τὰ πλείονα ἐρωτήματα ἓν ποιεῖν. Γίνονται δὲ παρὰ τὴν ὁμωνυμίαν σοφίσματα οὑτωσί· ‘ἆρά γε οἱ σοφοὶ μανθάνουσιν ἢ οἱ ἀμαθεῖς;‘ εἰ μὲν οὖν εἴπῃ ὁ ἐρωτώμενος ὅτι οἱ σοφοὶ μανθάνουσιν, ἐπάγει ὁ σο‐ φιστής· ‘σὺ οὖν ἠπίστασο ἃ παρὰ τοῦ διδασκάλου ἐμάνθανες;‘</w:t>
      </w:r>
    </w:p>
    <w:p>
      <w:r>
        <w:rPr>
          <w:rFonts w:ascii="Courier New" w:hAnsi="Courier New"/>
          <w:color w:val="555555"/>
          <w:sz w:val="20"/>
        </w:rPr>
        <w:t>[20]</w:t>
      </w:r>
    </w:p>
    <w:p>
      <w:r>
        <w:rPr>
          <w:rFonts w:ascii="Gentium Plus" w:hAnsi="Gentium Plus"/>
          <w:sz w:val="24"/>
        </w:rPr>
        <w:t>‘οὐδαμοῦ.‘ ‘οἱ ἀνεπιστήμονες 〈ἄρα〉 καὶ οἱ ἀμαθεῖς μανθάνου‐ σιν, ἀλλ’ οὐχ οἱ σοφοί.‘ ἂν δὲ φήσῃ ὅτι οἱ ἀμαθεῖς μανθάνου‐ σιν, ἐπιφέρει ὁ σοφιστής· ‘τὰ τῶν σοφῶν συγγράμματα οἱ σο‐ φοὶ μανθάνουσι καὶ νοοῦσιν ἢ οἱ ἀμαθεῖς;‘ ‘οἱ σοφοὶ δηλαδή.‘ ‘οἱ σοφοὶ ἄρα μανθάνουσιν ἀλλ’ οὐχ οἱ ἀμαθεῖς.‘ γίνεται δὲ</w:t>
      </w:r>
    </w:p>
    <w:p>
      <w:r>
        <w:rPr>
          <w:rFonts w:ascii="Courier New" w:hAnsi="Courier New"/>
          <w:color w:val="555555"/>
          <w:sz w:val="20"/>
        </w:rPr>
        <w:t>[25]</w:t>
      </w:r>
    </w:p>
    <w:p>
      <w:r>
        <w:rPr>
          <w:rFonts w:ascii="Gentium Plus" w:hAnsi="Gentium Plus"/>
          <w:sz w:val="24"/>
        </w:rPr>
        <w:t>ὁ παραλογισμὸς παρὰ τὴν ὁμωνυμίαν τοῦ ‘μανθάνειν‘· τὸ γὰρ ‘μανθάνειν‘ σημαίνει καὶ τὸ νοεῖν, ὥσπερ εἰώθαμεν λέγειν</w:t>
      </w:r>
    </w:p>
    <w:p>
      <w:r>
        <w:rPr>
          <w:rFonts w:ascii="Courier New" w:hAnsi="Courier New"/>
          <w:color w:val="555555"/>
          <w:sz w:val="20"/>
        </w:rPr>
        <w:t>[30]</w:t>
      </w:r>
    </w:p>
    <w:p>
      <w:r>
        <w:rPr>
          <w:rFonts w:ascii="Gentium Plus" w:hAnsi="Gentium Plus"/>
          <w:sz w:val="24"/>
        </w:rPr>
        <w:t>τὸ ‘ναί‘ ἢ ‘οὔ‘ λέγειν, ἀλλὰ μετά τινος προσθήκης, οἷον εἰ μὲν ἐπὶ τοῦ συνιέναι βούλει δοῦναι τὸ μανθάνειν, ὅλον ἐρωτηθὲν πότερον οἱ σοφοὶ μανθάνουσιν ἢ οἱ ἀμαθεῖς, οὑ‐ τωσὶ εἰπέ· ‘〈οἱ σοφοί·〉 αὐτοὶ γὰρ νοοῦσι τὰ λεγόμενα‘· εἰ δὲ ἐπὶ τοῦ εἰς γνῶσιν ἄγεσθαι καὶ ἐπιστήμην †φαῦλοι†·</w:t>
      </w:r>
    </w:p>
    <w:p>
      <w:r>
        <w:rPr>
          <w:rFonts w:ascii="Courier New" w:hAnsi="Courier New"/>
          <w:color w:val="555555"/>
          <w:sz w:val="20"/>
        </w:rPr>
        <w:t>[35]</w:t>
      </w:r>
    </w:p>
    <w:p>
      <w:r>
        <w:rPr>
          <w:rFonts w:ascii="Gentium Plus" w:hAnsi="Gentium Plus"/>
          <w:sz w:val="24"/>
        </w:rPr>
        <w:t>‘οἱ ἀμαθεῖς· οὗτοι γάρ εἰσιν οἱ εἰς ἐπιστήμην ἀγόμενοι.‘ πάλιν· ‘οὐχὶ τὰ δέοντα ἀγαθά;‘ ‘ναί.‘ ‘τὰ δὲ κακὰ δέοντα· τὰ κακὰ ἄρα ἀγαθά.‘ ὁμώνυμον γὰρ τὸ ‘δέον.‘ πάλιν· ‘οὐχὶ ὁ κόραξ πτηνόν ἐστι; τί δέ· οὐχὶ τὸ ὄργανον ᾧ κλείομεν τὰς θύρας κόραξ ἐστί; τὸ ὄργανον ἄρα πτηνόν ἐστι.‘ ὁμώ‐</w:t>
      </w:r>
    </w:p>
    <w:p>
      <w:r>
        <w:rPr>
          <w:rFonts w:ascii="Courier New" w:hAnsi="Courier New"/>
          <w:color w:val="555555"/>
          <w:sz w:val="20"/>
        </w:rPr>
        <w:t>[40]</w:t>
      </w:r>
    </w:p>
    <w:p>
      <w:r>
        <w:rPr>
          <w:rFonts w:ascii="Gentium Plus" w:hAnsi="Gentium Plus"/>
          <w:sz w:val="24"/>
        </w:rPr>
        <w:t>νυμον γὰρ τὸ ‘κόραξ.‘—‘οὐχὶ ὁ ἀετὸς πτηνόν ἐστι;‘ ‘ναί.‘ ‘τί δέ· οὐχὶ ὁ ἰχθὺς ἀετός ἐστι; ὁ ἰχθὺς ἄρα πτηνόν ἐστι.‘ Ἔστι δὲ παρὰ τὴν ἀμφιβολίαν οὗτος· ‘ἆρ’ ἔστι σιγῶντα λέγειν;‘ ‘οὔ.‘ ‘τί δέ· ὅταν ξύλα καὶ λίθους λέγῃς, οὐ σι‐ γῶντα λέγεις; ἔστιν ἄρα σιγῶντα λέγειν.‘ τὸ γὰρ ‘σιγῶντα‘</w:t>
      </w:r>
    </w:p>
    <w:p>
      <w:r>
        <w:rPr>
          <w:rFonts w:ascii="Courier New" w:hAnsi="Courier New"/>
          <w:color w:val="555555"/>
          <w:sz w:val="20"/>
        </w:rPr>
        <w:t>[45]</w:t>
      </w:r>
    </w:p>
    <w:p>
      <w:r>
        <w:rPr>
          <w:rFonts w:ascii="Gentium Plus" w:hAnsi="Gentium Plus"/>
          <w:sz w:val="24"/>
        </w:rPr>
        <w:t>δύναται νοεῖσθαι καὶ ἐπὶ τοῦ σιγῶντος ἀνθρώπου καὶ ἐπὶ τῶν σιγωμένων πραγμάτων. δύναται τὸ τοιοῦτον σόφισμα καὶ παρὰ τὴν ὁμωνυμίαν εἶναι. πάλιν· ‘ἆρ’ ἔστι λέγοντα σιγᾶν;‘ ‘οὐδαμῶς.‘ ‘τί δέ· ὅταν σιγᾷς, οὐ πάντα σιγᾷς;‘ ‘ναί.‘ ‘οὐκοῦν καὶ τὰ λέγοντα σιγᾷς· ἔστιν ἄρα λέγοντα σιγᾶν.‘</w:t>
      </w:r>
    </w:p>
    <w:p>
      <w:r>
        <w:rPr>
          <w:rFonts w:ascii="Courier New" w:hAnsi="Courier New"/>
          <w:color w:val="555555"/>
          <w:sz w:val="20"/>
        </w:rPr>
        <w:t>[(50)]</w:t>
      </w:r>
    </w:p>
    <w:p>
      <w:r>
        <w:rPr>
          <w:rFonts w:ascii="Gentium Plus" w:hAnsi="Gentium Plus"/>
          <w:sz w:val="24"/>
        </w:rPr>
        <w:t>—‘ἆρ’ ἔστι τυφλὸν ὁρᾶν;‘ ‘οὐδαμῶς.‘ ‘τί δέ· οὐχὶ τυφλὸν ὁρᾷς; ἔστιν ἄρα τυφλὸν ὁρᾶν.‘ πάλιν ἐρωτῶσι περὶ τοῦ δούλου τὸν δεσπότην ἢ περὶ τῆς κυνός, δεικνύντες τὸν δοῦ‐ λον ἢ τὴν κύνα, οὕτως· ‘ἆρ’ οὗτος σός ἐστι;‘ ‘ναί.‘ ‘ἆρ’ οὗτος παῖς ἐστι;‘ ‘ναί.‘ ‘σὸς ἄρα οὗτος παῖς ἐστι.‘ ἀμφί‐</w:t>
      </w:r>
    </w:p>
    <w:p>
      <w:r>
        <w:rPr>
          <w:rFonts w:ascii="Courier New" w:hAnsi="Courier New"/>
          <w:color w:val="555555"/>
          <w:sz w:val="20"/>
        </w:rPr>
        <w:t>[55]</w:t>
      </w:r>
    </w:p>
    <w:p>
      <w:r>
        <w:rPr>
          <w:rFonts w:ascii="Gentium Plus" w:hAnsi="Gentium Plus"/>
          <w:sz w:val="24"/>
        </w:rPr>
        <w:t>βολον γὰρ τοῦτο.—‘ἆρα αὕτη σή ἐστι;‘ ‘ναί.‘ ‘ἆρα αὕτη</w:t>
      </w:r>
    </w:p>
    <w:p>
      <w:r>
        <w:rPr>
          <w:rFonts w:ascii="Courier New" w:hAnsi="Courier New"/>
          <w:color w:val="555555"/>
          <w:sz w:val="20"/>
        </w:rPr>
        <w:t>[60]</w:t>
      </w:r>
    </w:p>
    <w:p>
      <w:r>
        <w:rPr>
          <w:rFonts w:ascii="Gentium Plus" w:hAnsi="Gentium Plus"/>
          <w:sz w:val="24"/>
        </w:rPr>
        <w:t>‘ἆρ’ οὗτος σός ἐστι;‘ λέγειν ‘ναί· δοῦλοσ‘, καὶ ἔπαυσας τὴν ἀγωγὴν τοῦ σοφίσματος. ἀλλὰ κἂν εἴπῃ ‘ἆρ’ 〈ἀγαθόν〉 ἐστι τὰ δέοντα πράττειν;‘· ‘ναί· τὰ καλά.‘ Παρὰ δὲ τὴν σύνθεσιν γίνονται τὰ σοφίσματα οὕτως· ‘πᾶς ὁ πυρέσσων πὼς πυρέσσει· τῷ πὼς πυρέσσοντι οἶνον δοτέον·</w:t>
      </w:r>
    </w:p>
    <w:p>
      <w:r>
        <w:rPr>
          <w:rFonts w:ascii="Courier New" w:hAnsi="Courier New"/>
          <w:color w:val="555555"/>
          <w:sz w:val="20"/>
        </w:rPr>
        <w:t>[65]</w:t>
      </w:r>
    </w:p>
    <w:p>
      <w:r>
        <w:rPr>
          <w:rFonts w:ascii="Gentium Plus" w:hAnsi="Gentium Plus"/>
          <w:sz w:val="24"/>
        </w:rPr>
        <w:t>παντὶ ἄρα τῷ πυρέσσοντι οἶνον δοτέον.‘ παρὰ τὴν σύνθεσιν τὸ σόφισμα· ἔδει γὰρ τὸ ‘οἶνον δοτέον‘ μὴ τῷ πυρέσσοντι μόνῳ συνθεῖναι ἀλλὰ τῷ πὼς πυρέσσοντι· τοῦτο δὲ ἀληθές, τὸ τῷ πὼς πυρέσσοντι οἶνον δοτέον. πάλιν· ‘ἆρα ᾧ εἶδες σὺ τοῦτον τυπτόμενον, τούτῳ ἐτύπτετο οὗτος;‘ ‘ναί.‘</w:t>
      </w:r>
    </w:p>
    <w:p>
      <w:r>
        <w:rPr>
          <w:rFonts w:ascii="Courier New" w:hAnsi="Courier New"/>
          <w:color w:val="555555"/>
          <w:sz w:val="20"/>
        </w:rPr>
        <w:t>[70]</w:t>
      </w:r>
    </w:p>
    <w:p>
      <w:r>
        <w:rPr>
          <w:rFonts w:ascii="Gentium Plus" w:hAnsi="Gentium Plus"/>
          <w:sz w:val="24"/>
        </w:rPr>
        <w:t>‘εἶδες τῷ ὀφθαλμῷ 〈τοῦ〉τον τυπτόμενον· τῷ ὀφθαλμῷ ἄρα οὗτος ἐτύπτετο.‘ παρὰ τὴν σύνθεσιν καὶ τοῦτο· οὐ γὰρ τὸ ‘ἐτύπτετο‘ τῷ ‘ὀφθαλμῷ‘ ἔδει συνθεῖναι, ἀλλὰ τῷ ‘ὀφθαλμῷ εἶδεσ‘ ὡς εἶναι τὸ πᾶν τοιοῦτον· ‘τῷ ὀφθαλμῷ ἄρα εἶδες ὅτι ἐτύπτετο.‘—‘ἆρα γέγονας σύ;‘ ‘ναί.‘ ‘τί δέ· ἀληθές</w:t>
      </w:r>
    </w:p>
    <w:p>
      <w:r>
        <w:rPr>
          <w:rFonts w:ascii="Courier New" w:hAnsi="Courier New"/>
          <w:color w:val="555555"/>
          <w:sz w:val="20"/>
        </w:rPr>
        <w:t>[75]</w:t>
      </w:r>
    </w:p>
    <w:p>
      <w:r>
        <w:rPr>
          <w:rFonts w:ascii="Gentium Plus" w:hAnsi="Gentium Plus"/>
          <w:sz w:val="24"/>
        </w:rPr>
        <w:t>ἐστιν εἰπεῖν νῦν ὅτι γέγονας;‘ ‘ναί.‘ ‘γέγονας ἄρα νῦν.‘ παρὰ τὴν σύνθεσιν καὶ τοῦτο· ἔδει γὰρ εἰπεῖν ‘ἀληθὲς ἄρα νῦν εἰπεῖν ὅτι γέγονας.‘ Παρὰ τὴν διαίρεσιν· ‘οὐχὶ ὁ ἑπτὰ εἰς τρία καὶ τέσσαρα διαιρεῖται; οὐχὶ δὲ τὰ τρία καὶ τέσσαρα περιττὰ καὶ ἄρτιά</w:t>
      </w:r>
    </w:p>
    <w:p>
      <w:r>
        <w:rPr>
          <w:rFonts w:ascii="Courier New" w:hAnsi="Courier New"/>
          <w:color w:val="555555"/>
          <w:sz w:val="20"/>
        </w:rPr>
        <w:t>[80]</w:t>
      </w:r>
    </w:p>
    <w:p>
      <w:r>
        <w:rPr>
          <w:rFonts w:ascii="Gentium Plus" w:hAnsi="Gentium Plus"/>
          <w:sz w:val="24"/>
        </w:rPr>
        <w:t>ἐστι;‘ ‘ναί.‘ ‘ὁ ἐπτὰ ἄρα περιττὸς καὶ ἄρτιός ἐστι.‘ παρὰ τὴν διαίρεσιν γέγονε τὸ σόφισμα ὅτι ὁ τρία καὶ τέσσαρα ἐν τῷ ἑπτὰ δυνάμει, οὐκ ἐνεργείᾳ, εἰσί· τὸ δὲ δυνάμει τι ὂν οὐκ ἔστιν ἐκεῖνο ὃ δύναται γενέσθαι, οἷον ὁ ἀσχημάτιστος</w:t>
      </w:r>
    </w:p>
    <w:p>
      <w:r>
        <w:rPr>
          <w:rFonts w:ascii="Courier New" w:hAnsi="Courier New"/>
          <w:color w:val="555555"/>
          <w:sz w:val="20"/>
        </w:rPr>
        <w:t>[85]</w:t>
      </w:r>
    </w:p>
    <w:p>
      <w:r>
        <w:rPr>
          <w:rFonts w:ascii="Gentium Plus" w:hAnsi="Gentium Plus"/>
          <w:sz w:val="24"/>
        </w:rPr>
        <w:t>ἐν τῷ ἑπτὰ ὄντες, οὐχ ὡς τρία καὶ τέσσαρά εἰσιν, ἀλλ’ ὡς ἀόριστον πλῆθος μονάδων. Παρὰ δὲ τὴν προσῳδίαν ὀλίγα εἰσὶ τὰ γινόμενα σοφίσματα. γίνονται δὲ οὕτως· ‘ἆρ’ ἔστιν οὖ καταλύεις οἰκία;‘ ‘ναί.‘ ‘τὸ ‘οὐ καταλύεισ‘ οὐκ ἀπόφασίς ἐστι τοῦ ‘καταλύεισ‘;‘</w:t>
      </w:r>
    </w:p>
    <w:p>
      <w:r>
        <w:rPr>
          <w:rFonts w:ascii="Courier New" w:hAnsi="Courier New"/>
          <w:color w:val="555555"/>
          <w:sz w:val="20"/>
        </w:rPr>
        <w:t>[90]</w:t>
      </w:r>
    </w:p>
    <w:p>
      <w:r>
        <w:rPr>
          <w:rFonts w:ascii="Gentium Plus" w:hAnsi="Gentium Plus"/>
          <w:sz w:val="24"/>
        </w:rPr>
        <w:t>‘ναί.‘ ‘ἡ οἰκία ἄρα ἀπόφασις.‘ παρὰ τὴν προσῳδίαν τὸ σόφισμα, διότι ἐν μὲν τῇ πρώτῃ προτάσει τὸ ‘οὗ καταλύεισ‘ μετὰ δασείας καὶ περισπωμένης δέδοται, εἴληπται δὲ ἐν τῇ δευτέρᾳ οὐχ οὕτως. πάλιν· ‘ἆρ’ ἕστηκεν ὄρος;‘ ‘ναί.‘ ‘τί δέ· τὸ ζῷον λογικὸν ἐπιστήμης δεκτικὸν οὐχ ὅρος; ἕστηκεν</w:t>
      </w:r>
    </w:p>
    <w:p>
      <w:r>
        <w:rPr>
          <w:rFonts w:ascii="Courier New" w:hAnsi="Courier New"/>
          <w:color w:val="555555"/>
          <w:sz w:val="20"/>
        </w:rPr>
        <w:t>[95]</w:t>
      </w:r>
    </w:p>
    <w:p>
      <w:r>
        <w:rPr>
          <w:rFonts w:ascii="Gentium Plus" w:hAnsi="Gentium Plus"/>
          <w:sz w:val="24"/>
        </w:rPr>
        <w:t>ἄρα τὸ ζῷον λογικὸν ἐπιστήμης δεκτικόν.‘ παρὰ τὴν προσῳ‐ δίαν τοῦτο.—‘ἆρ’ οὐχὶ † ὁ ἀβρααμ’ † περάτης δηλοῖ;‘ ‘ναί.‘ ‘τί δέ· οὐχὶ ὁ Ἀβραὰμ πολλῶν ἐθνῶν πατήρ;‘ ‘ναί.‘ ‘ὁ περάτης ἄρα πολλῶν ἐθνῶν πατέρα δηλοῖ.‘ παρὰ τὴν προ‐ σῳδίαν καὶ τοῦτο.</w:t>
      </w:r>
    </w:p>
    <w:p>
      <w:r>
        <w:rPr>
          <w:rFonts w:ascii="Courier New" w:hAnsi="Courier New"/>
          <w:color w:val="555555"/>
          <w:sz w:val="20"/>
        </w:rPr>
        <w:t>[(100)]</w:t>
      </w:r>
    </w:p>
    <w:p>
      <w:r>
        <w:rPr>
          <w:rFonts w:ascii="Gentium Plus" w:hAnsi="Gentium Plus"/>
          <w:sz w:val="24"/>
        </w:rPr>
        <w:t>Παρὰ δὲ τὸ σχῆμα τῆς λέξεως καὶ τοῦτο· ‘πότερον ὁρῶσι καὶ Σκύθαι καὶ ἄλλοι πάντες, ἢ καὶ σὺ καὶ ἐγώ, τὰ δυνατὰ ὁρᾶν ἢ τὰ ἀδύνατα;‘ ‘τὰ δυνατά.‘ ‘ὁρᾷς δὲ τὰ ἡμέτερα ἱμά‐ τια· τὰ ἡμέτερα ἱμάτια 〈ἄρα〉 δυνατά ἐστιν ὁρᾶν.‘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