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Βίος Ἱπποκράτους κατὰ Σωρανόν</w:t>
      </w:r>
      <w:r>
        <w:br/>
      </w:r>
      <w:r>
        <w:rPr>
          <w:i/>
          <w:color w:val="666666"/>
          <w:sz w:val="40"/>
        </w:rPr>
        <w:t>Life of Hippocrates According to Soranus</w:t>
      </w:r>
    </w:p>
    <w:p>
      <w:pPr>
        <w:jc w:val="center"/>
      </w:pPr>
      <w:r>
        <w:rPr>
          <w:rFonts w:ascii="Times New Roman" w:hAnsi="Times New Roman"/>
          <w:color w:val="1E3A70"/>
          <w:sz w:val="32"/>
        </w:rPr>
        <w:t>Σωρανὸς ὁ Ἑφέσιος</w:t>
      </w:r>
      <w:r>
        <w:br/>
      </w:r>
      <w:r>
        <w:rPr>
          <w:i/>
          <w:color w:val="666666"/>
          <w:sz w:val="28"/>
        </w:rPr>
        <w:t>by Soranus of Ephesus</w:t>
      </w:r>
    </w:p>
    <w:p/>
    <w:p>
      <w:pPr>
        <w:jc w:val="center"/>
      </w:pPr>
      <w:r>
        <w:rPr>
          <w:rFonts w:ascii="Gentium Plus" w:hAnsi="Gentium Plus"/>
          <w:b/>
          <w:sz w:val="24"/>
        </w:rPr>
        <w:t>ΙΠΠΟΚΡΑΤΟΥΣ ΓΕΝΟΣ ΚΑΙ ΒΙΟΣ ΚΑΤΑ ΣΩΡΑΝΟΝ</w:t>
      </w:r>
    </w:p>
    <w:p>
      <w:r>
        <w:rPr>
          <w:rFonts w:ascii="Courier New" w:hAnsi="Courier New"/>
          <w:color w:val="555555"/>
          <w:sz w:val="20"/>
        </w:rPr>
        <w:t>[1]</w:t>
      </w:r>
    </w:p>
    <w:p>
      <w:r>
        <w:rPr>
          <w:rFonts w:ascii="Gentium Plus" w:hAnsi="Gentium Plus"/>
          <w:sz w:val="24"/>
        </w:rPr>
        <w:t>Ἱπποκράτης γένει μὲν ἦν Κῷος, υἱὸς Ἡρακλείδα καὶ Φαιναρέτης, εἰς Ἡρακλέα καὶ Ἀσκληπιὸν τὸ γένος ἀναφέρων, ἀφ’ οὗ μὲν εἰκοστός, ἀφ’ οὗ δὲ ἐννεακαιδέκατος. μνημονεύει δὲ τῆς γενεαλογίας αὐτοῦ Ἐρατοσθένης καὶ Φερεκύδης καὶ Ἀπολλόδωρος καὶ Ἄρειος</w:t>
      </w:r>
    </w:p>
    <w:p>
      <w:r>
        <w:rPr>
          <w:rFonts w:ascii="Courier New" w:hAnsi="Courier New"/>
          <w:color w:val="555555"/>
          <w:sz w:val="20"/>
        </w:rPr>
        <w:t>[2]</w:t>
      </w:r>
    </w:p>
    <w:p>
      <w:r>
        <w:rPr>
          <w:rFonts w:ascii="Gentium Plus" w:hAnsi="Gentium Plus"/>
          <w:sz w:val="24"/>
        </w:rPr>
        <w:t>ὁ Ταρσεύς. μαθητὴς δὲ γέγονεν Ἡρακλείδα τοῦ [ἰδίου] πατρός, εἶτα Ἡροδίκου, κατὰ δέ τινας καὶ Γοργίου τοῦ Λεοντίνου ῥήτορος, φιλο‐</w:t>
      </w:r>
    </w:p>
    <w:p>
      <w:r>
        <w:rPr>
          <w:rFonts w:ascii="Courier New" w:hAnsi="Courier New"/>
          <w:color w:val="555555"/>
          <w:sz w:val="20"/>
        </w:rPr>
        <w:t>[3]</w:t>
      </w:r>
    </w:p>
    <w:p>
      <w:r>
        <w:rPr>
          <w:rFonts w:ascii="Gentium Plus" w:hAnsi="Gentium Plus"/>
          <w:sz w:val="24"/>
        </w:rPr>
        <w:t>σόφου δὲ Δημοκρίτου Ἀβδηρίτου. κατὰ δὲ τοὺς Πελοποννησιακοὺς ἤκμασε χρόνους γεννηθείς, ὥς φησιν Ἰσχόμαχος ἐν τῷ πρώτῳ Περὶ τῆς Ἱπποκράτους αἱρέσεως, κατὰ τὸ πρῶτον ἔτος τῆς ὀγδοηκοστῆς ὀλυμπιάδος, ὡς δὲ Σωρανὸς ὁ Κῷος ἐρευνήσας τὰ ἐν Κῷ γραμμα‐</w:t>
      </w:r>
    </w:p>
    <w:p>
      <w:r>
        <w:rPr>
          <w:rFonts w:ascii="Courier New" w:hAnsi="Courier New"/>
          <w:color w:val="555555"/>
          <w:sz w:val="20"/>
        </w:rPr>
        <w:t>[5]</w:t>
      </w:r>
    </w:p>
    <w:p>
      <w:r>
        <w:rPr>
          <w:rFonts w:ascii="Gentium Plus" w:hAnsi="Gentium Plus"/>
          <w:sz w:val="24"/>
        </w:rPr>
        <w:t>τοφυλακεῖα προστίθησι, μοναρχοῦντος Ἀβριάδα, μηνὸς Ἀγριανίου ἑβδόμῃ καὶ εἰκοστῇ, παρ’ ὃ καὶ ἐναγίζειν ἐν αὐτῇ μέχρι νῦν Ἱπποκράτει φησὶ</w:t>
      </w:r>
    </w:p>
    <w:p>
      <w:r>
        <w:rPr>
          <w:rFonts w:ascii="Courier New" w:hAnsi="Courier New"/>
          <w:color w:val="555555"/>
          <w:sz w:val="20"/>
        </w:rPr>
        <w:t>[4]</w:t>
      </w:r>
    </w:p>
    <w:p>
      <w:r>
        <w:rPr>
          <w:rFonts w:ascii="Gentium Plus" w:hAnsi="Gentium Plus"/>
          <w:sz w:val="24"/>
        </w:rPr>
        <w:t>τοὺς Κῴους. συνασκηθεὶς δὲ ἐν τῇ ἰατρικῇ καὶ τοῖς ἐγκυκλίοις μαθή‐ μασι τῶν γονέων αὐτοῦ τελευτησάντων μετέστη τῆς [ἰδίας] πατρίδος, ὡς μὲν κακοήθως Ἀνδρέας φησὶν ἐν τῷ Περὶ τῆς ἰατρικῆς</w:t>
      </w:r>
    </w:p>
    <w:p>
      <w:r>
        <w:rPr>
          <w:rFonts w:ascii="Courier New" w:hAnsi="Courier New"/>
          <w:color w:val="555555"/>
          <w:sz w:val="20"/>
        </w:rPr>
        <w:t>[5]</w:t>
      </w:r>
    </w:p>
    <w:p>
      <w:r>
        <w:rPr>
          <w:rFonts w:ascii="Gentium Plus" w:hAnsi="Gentium Plus"/>
          <w:sz w:val="24"/>
        </w:rPr>
        <w:t>ἄλλοι δέ φασιν, ὅτι προθέσει τοῦ κατὰ τόπους τὰ ἀποτελούμενα θεάσασθαι καὶ συγγυμνασθῆναι ποικιλώτερον· ὡς δὲ Σωρανὸς ὁ Κῷος ἱστορεῖ, ὄνειρος αὐτῷ παρέστη κελεύων τὴν Θεσσαλῶν γῆν κατοικεῖν.</w:t>
      </w:r>
    </w:p>
    <w:p>
      <w:r>
        <w:rPr>
          <w:rFonts w:ascii="Courier New" w:hAnsi="Courier New"/>
          <w:color w:val="555555"/>
          <w:sz w:val="20"/>
        </w:rPr>
        <w:t>[5]</w:t>
      </w:r>
    </w:p>
    <w:p>
      <w:r>
        <w:rPr>
          <w:rFonts w:ascii="Gentium Plus" w:hAnsi="Gentium Plus"/>
          <w:sz w:val="24"/>
        </w:rPr>
        <w:t>τὴν δὲ σύμπασαν Ἑλλάδα θεραπεύων ἐθαυμάσθη, ὥστε καὶ ὑπὸ Περ‐ δίκκα τοῦ Μακεδόνων βασιλέως φθισικοῦ νομισθέντος παρακληθέντα δημοσίᾳ πρὸς αὐτὸν ἐλθεῖν μετ’ Εὐρυφῶντος, ὃς καθ’ ἡλικίαν πρεσβύ‐ τερος ἦν αὐτοῦ, καὶ σημειώσασθαι ψυχῆς εἶναι τὸ πάθος. ἤρα γὰρ</w:t>
      </w:r>
    </w:p>
    <w:p>
      <w:r>
        <w:rPr>
          <w:rFonts w:ascii="Courier New" w:hAnsi="Courier New"/>
          <w:color w:val="555555"/>
          <w:sz w:val="20"/>
        </w:rPr>
        <w:t>[5]</w:t>
      </w:r>
    </w:p>
    <w:p>
      <w:r>
        <w:rPr>
          <w:rFonts w:ascii="Gentium Plus" w:hAnsi="Gentium Plus"/>
          <w:sz w:val="24"/>
        </w:rPr>
        <w:t>μετὰ τὸν τοῦ πατρὸς Ἀλεξάνδρου θάνατον Φίλας τῆς παλλακίδος αὐτοῦ, πρὸς ἣν δηλώσαντα τὸ γεγονός, ἐπειδὴ παρεφύλαξεν ταύτης βλεπομένης παντελῶς ἐκεῖνον τρέπεσθαι, λῦσαι μὲν τὴν νόσον, ἀνα‐</w:t>
      </w:r>
    </w:p>
    <w:p>
      <w:r>
        <w:rPr>
          <w:rFonts w:ascii="Courier New" w:hAnsi="Courier New"/>
          <w:color w:val="555555"/>
          <w:sz w:val="20"/>
        </w:rPr>
        <w:t>[6]</w:t>
      </w:r>
    </w:p>
    <w:p>
      <w:r>
        <w:rPr>
          <w:rFonts w:ascii="Gentium Plus" w:hAnsi="Gentium Plus"/>
          <w:sz w:val="24"/>
        </w:rPr>
        <w:t>κτήσασθαι δὲ τὸν βασιλέα. παρεκλήθη δὲ ὑπὸ [τῶν] Ἀβδηριτῶν πρὸς αὐτοὺς ἀπελθεῖν καὶ Δημόκριτον μὲν ὡς ἐν μανίᾳ θεραπεῦσαι, ῥύσασθαι</w:t>
      </w:r>
    </w:p>
    <w:p>
      <w:r>
        <w:rPr>
          <w:rFonts w:ascii="Courier New" w:hAnsi="Courier New"/>
          <w:color w:val="555555"/>
          <w:sz w:val="20"/>
        </w:rPr>
        <w:t>[7]</w:t>
      </w:r>
    </w:p>
    <w:p>
      <w:r>
        <w:rPr>
          <w:rFonts w:ascii="Gentium Plus" w:hAnsi="Gentium Plus"/>
          <w:sz w:val="24"/>
        </w:rPr>
        <w:t>δὲ λοιμοῦ τὴν πόλιν ὅλην. ἀλλὰ καὶ εἰς τὴν Ἰλλυριῶν καὶ Παιόνων βαρβάρων γῆν λοιμοῦ κατασκήψαντος καὶ δεομένων τῶν ἐκεῖ βασιλέων πρὸς αὐτοὺς ἐλθεῖν, παρὰ τῶν πρέσβεων τίνα ἦν ἐκεῖ τὰ πολλὰ τῶν πνευμάτων μαθὼν ἐκείνους μὲν ἀπράκτους ἀπέπεμψε, συλλογισάμενος</w:t>
      </w:r>
    </w:p>
    <w:p>
      <w:r>
        <w:rPr>
          <w:rFonts w:ascii="Courier New" w:hAnsi="Courier New"/>
          <w:color w:val="555555"/>
          <w:sz w:val="20"/>
        </w:rPr>
        <w:t>[5]</w:t>
      </w:r>
    </w:p>
    <w:p>
      <w:r>
        <w:rPr>
          <w:rFonts w:ascii="Gentium Plus" w:hAnsi="Gentium Plus"/>
          <w:sz w:val="24"/>
        </w:rPr>
        <w:t>δὲ τὴν νόσον ἐπὶ τὴν Ἀττικὴν ἥξειν, προειπὼν τὸ γενησόμενον καὶ</w:t>
      </w:r>
    </w:p>
    <w:p>
      <w:r>
        <w:rPr>
          <w:rFonts w:ascii="Courier New" w:hAnsi="Courier New"/>
          <w:color w:val="555555"/>
          <w:sz w:val="20"/>
        </w:rPr>
        <w:t>[8]</w:t>
      </w:r>
    </w:p>
    <w:p>
      <w:r>
        <w:rPr>
          <w:rFonts w:ascii="Gentium Plus" w:hAnsi="Gentium Plus"/>
          <w:sz w:val="24"/>
        </w:rPr>
        <w:t>τῶν πόλεων καὶ τῶν μαθητῶν ἐπεμελήθη. τοσοῦτον δὲ φιλέλλην ὑπῆρξεν, ὥστε τῆς δόξης αὐτοῦ μέχρι Περσῶν διαπύστου γενομένης καὶ διὰ τοῦτο καὶ τοῦ Ἀρταξέρξου διὰ Ὑστάνους τοῦ Ἑλλησποντίων ὑπάρχου ἐπὶ μεγάλαις δωρεαῖς δεομένου πρὸς αὐτὸν ἐλθεῖν, διὰ τὸ</w:t>
      </w:r>
    </w:p>
    <w:p>
      <w:r>
        <w:rPr>
          <w:rFonts w:ascii="Courier New" w:hAnsi="Courier New"/>
          <w:color w:val="555555"/>
          <w:sz w:val="20"/>
        </w:rPr>
        <w:t>[5]</w:t>
      </w:r>
    </w:p>
    <w:p>
      <w:r>
        <w:rPr>
          <w:rFonts w:ascii="Gentium Plus" w:hAnsi="Gentium Plus"/>
          <w:sz w:val="24"/>
        </w:rPr>
        <w:t>σεμνὸν καὶ ἀφιλάργυρον καὶ φιλοίκειον ἀρνήσασθαι, ὡς καὶ τοῦτο διὰ</w:t>
      </w:r>
    </w:p>
    <w:p>
      <w:r>
        <w:rPr>
          <w:rFonts w:ascii="Courier New" w:hAnsi="Courier New"/>
          <w:color w:val="555555"/>
          <w:sz w:val="20"/>
        </w:rPr>
        <w:t>[9]</w:t>
      </w:r>
    </w:p>
    <w:p>
      <w:r>
        <w:rPr>
          <w:rFonts w:ascii="Gentium Plus" w:hAnsi="Gentium Plus"/>
          <w:sz w:val="24"/>
        </w:rPr>
        <w:t>τῆς πρὸς αὐτὸν ἐπιστολῆς δηλοῦται. ἐρρύσατο δὲ τὴν ἑαυτοῦ πατρίδα πολεμεῖσθαι μέλλουσαν ὑπὸ Ἀθηναίων, Θεσσαλῶν δεηθεὶς ἐπιβοηθῆσαι.</w:t>
      </w:r>
    </w:p>
    <w:p>
      <w:r>
        <w:rPr>
          <w:rFonts w:ascii="Courier New" w:hAnsi="Courier New"/>
          <w:color w:val="555555"/>
          <w:sz w:val="20"/>
        </w:rPr>
        <w:t>[10]</w:t>
      </w:r>
    </w:p>
    <w:p>
      <w:r>
        <w:rPr>
          <w:rFonts w:ascii="Gentium Plus" w:hAnsi="Gentium Plus"/>
          <w:sz w:val="24"/>
        </w:rPr>
        <w:t>διὸ καὶ λαμπρῶν ἔτυχε τιμῶν παρὰ Κῴοις, ἀλλὰ καὶ Θεσσαλοῖς καὶ Ἀργείοις καὶ Ἀθηναίοις, οἵτινες καὶ δεύτερον αὐτὸν ἀφ’ Ἡρακλέους δημοσίᾳ τοῖς Ἐλευσινίοις ἐμύησαν καὶ πολίτην ἔγραψαν καὶ τὴν ἐν πρυτανείῳ σίτησιν ἔδοσαν εἰς ἐκγόνους. ἀφθόνως δὲ τοὺς ἐπιτηδείους</w:t>
      </w:r>
    </w:p>
    <w:p>
      <w:r>
        <w:rPr>
          <w:rFonts w:ascii="Courier New" w:hAnsi="Courier New"/>
          <w:color w:val="555555"/>
          <w:sz w:val="20"/>
        </w:rPr>
        <w:t>[11]</w:t>
      </w:r>
    </w:p>
    <w:p>
      <w:r>
        <w:rPr>
          <w:rFonts w:ascii="Gentium Plus" w:hAnsi="Gentium Plus"/>
          <w:sz w:val="24"/>
        </w:rPr>
        <w:t>ἐδίδασκε τὴν τέχνην μετὰ τοῦ προσήκοντος Ὅρκου. ἐτελεύτα δὲ παρὰ Λαρισσαίοις, ὅτε καὶ Δημόκριτος φέρεται τελευτήσας, καὶ οἱ μὲν ἐνενή‐ κοντα ἐτῶν, οἱ δὲ ὀγδοήκοντα πέντε φασίν, ἄλλοι ἑκατὸν τεσσάρων, τινὲς ἑκατὸν ἐννέα. τέθαπται δὲ μεταξὺ Γυρτῶνος καὶ Λαρίσσης, καὶ</w:t>
      </w:r>
    </w:p>
    <w:p>
      <w:r>
        <w:rPr>
          <w:rFonts w:ascii="Courier New" w:hAnsi="Courier New"/>
          <w:color w:val="555555"/>
          <w:sz w:val="20"/>
        </w:rPr>
        <w:t>[5]</w:t>
      </w:r>
    </w:p>
    <w:p>
      <w:r>
        <w:rPr>
          <w:rFonts w:ascii="Gentium Plus" w:hAnsi="Gentium Plus"/>
          <w:sz w:val="24"/>
        </w:rPr>
        <w:t>δείκνυται ἄχρι δεῦρο τὸ μνῆμα, ἐν ᾧ μέχρι πολλοῦ σμῆνος ἦν ἐργα‐ ζόμενον μέλι, ἀφ’ οὗ τὰ ἀφθῶντα παιδάρια χρίουσαι παρὰ τῷ τάφῳ</w:t>
      </w:r>
    </w:p>
    <w:p>
      <w:r>
        <w:rPr>
          <w:rFonts w:ascii="Courier New" w:hAnsi="Courier New"/>
          <w:color w:val="555555"/>
          <w:sz w:val="20"/>
        </w:rPr>
        <w:t>[12]</w:t>
      </w:r>
    </w:p>
    <w:p>
      <w:r>
        <w:rPr>
          <w:rFonts w:ascii="Gentium Plus" w:hAnsi="Gentium Plus"/>
          <w:sz w:val="24"/>
        </w:rPr>
        <w:t>ῥᾳδίως ἀπήλλαττον αἱ τιτθαί. ἐν δὲ ταῖς πολλαῖς εἰκόσιν ἐσκεπασμέ‐ νος τὴν κεφαλὴν γράφεται, ὡς μέν τινες λέγουσι πίλῳ, παράσημον εὐγενείας, καθάπερ Ὀδυσσεύς, ἄλλοι δὲ τῷ ἱματίῳ· καὶ τούτων οἱ μὲν δι’ εὐπρέπειαν, ἐπεὶ φαλακρὸς ἦν, οἱ δὲ διὰ τὸ ἀσθενὲς τῆς κεφαλῆς,</w:t>
      </w:r>
    </w:p>
    <w:p>
      <w:r>
        <w:rPr>
          <w:rFonts w:ascii="Courier New" w:hAnsi="Courier New"/>
          <w:color w:val="555555"/>
          <w:sz w:val="20"/>
        </w:rPr>
        <w:t>[5]</w:t>
      </w:r>
    </w:p>
    <w:p>
      <w:r>
        <w:rPr>
          <w:rFonts w:ascii="Gentium Plus" w:hAnsi="Gentium Plus"/>
          <w:sz w:val="24"/>
        </w:rPr>
        <w:t>οἱ δὲ δι’ ἔμφασιν τοῦ δεῖν τὸ τοῦ ἡγεμονικοῦ χωρίον φρουρεῖν, οἱ δὲ τοῦ φιλαποδήμου τεκμήριον, οἱ δὲ τῆς ἐν τοῖς συγγράμμασιν ἀσαφείας, οἱ δὲ πρὸς παράστασιν τοῦ δεῖν κἀν τῷ ὑγιαίνειν φυλάσ‐ σεσθαι τὰ βλάπτοντα, τινὲς δὲ ὅτι χειρίζων πρὸς τὸ τῶν χειρῶν ἀπαραπόδιστον συμπεριλαμβάνων τὸ τοῦ ἱματίου περικεχυμένον ἐπετί‐</w:t>
      </w:r>
    </w:p>
    <w:p>
      <w:r>
        <w:rPr>
          <w:rFonts w:ascii="Courier New" w:hAnsi="Courier New"/>
          <w:color w:val="555555"/>
          <w:sz w:val="20"/>
        </w:rPr>
        <w:t>[13]</w:t>
      </w:r>
    </w:p>
    <w:p>
      <w:r>
        <w:rPr>
          <w:rFonts w:ascii="Gentium Plus" w:hAnsi="Gentium Plus"/>
          <w:sz w:val="24"/>
        </w:rPr>
        <w:t>θει τῇ κεφαλῇ. περὶ δὲ τῶν συγγραμμάτων αὐτοῦ πολλὴ γέγονε δια‐ φωνία ἄλλων ἄλλα δοξασάντων. ὅθεν οὐκ εὐμαρὲς τὸ περὶ αὐτῶν ἀποφήνασθαι, διὰ τὸ πολλὰς αἰτίας ἐπισκοτεῖν τῇ κρίσει, πρῶτον τὴν ἐπωνυμίαν, δεύτερον τὸ δύνασθαι τὸν χαρακτῆρα τῆς φράσεως τηρῆσαι,</w:t>
      </w:r>
    </w:p>
    <w:p>
      <w:r>
        <w:rPr>
          <w:rFonts w:ascii="Courier New" w:hAnsi="Courier New"/>
          <w:color w:val="555555"/>
          <w:sz w:val="20"/>
        </w:rPr>
        <w:t>[5]</w:t>
      </w:r>
    </w:p>
    <w:p>
      <w:r>
        <w:rPr>
          <w:rFonts w:ascii="Gentium Plus" w:hAnsi="Gentium Plus"/>
          <w:sz w:val="24"/>
        </w:rPr>
        <w:t>τρίτον διὰ τὸ ἕνα καὶ τὸν αὐτὸν ποτὲ μὲν ῥωμαλεώτερον, ἄλλοτε ἀσθενέστερον διὰ τὴν ἡλικίαν συγγράφειν. καὶ ἄλλας δὲ [μετὰ τούτων]</w:t>
      </w:r>
    </w:p>
    <w:p>
      <w:r>
        <w:rPr>
          <w:rFonts w:ascii="Courier New" w:hAnsi="Courier New"/>
          <w:color w:val="555555"/>
          <w:sz w:val="20"/>
        </w:rPr>
        <w:t>[14]</w:t>
      </w:r>
    </w:p>
    <w:p>
      <w:r>
        <w:rPr>
          <w:rFonts w:ascii="Gentium Plus" w:hAnsi="Gentium Plus"/>
          <w:sz w:val="24"/>
        </w:rPr>
        <w:t>αἰτίας ἔστιν εἰπεῖν. [ἀφιλάργυρος δὲ καὶ τοῖς τρόποις σεμνὸς καὶ φιλέλλην ὑπῆρχεν, ὅτι καὶ τοὺς ὁμοεθνεῖς ἐθεράπευε συμπάσῃ σπουδῇ, ὡς καὶ λοιμῶν ὅλας ῥύσασθαι πόλεις, καθάπερ εἴρηται. ὅθεν καὶ λαμ‐ πρῶν ἔτυχε τιμῶν οὐ παρὰ Κῴοις μόνον, ἀλλὰ καὶ Ἀργείοις καὶ</w:t>
      </w:r>
    </w:p>
    <w:p>
      <w:r>
        <w:rPr>
          <w:rFonts w:ascii="Courier New" w:hAnsi="Courier New"/>
          <w:color w:val="555555"/>
          <w:sz w:val="20"/>
        </w:rPr>
        <w:t>[15]</w:t>
      </w:r>
    </w:p>
    <w:p>
      <w:r>
        <w:rPr>
          <w:rFonts w:ascii="Gentium Plus" w:hAnsi="Gentium Plus"/>
          <w:sz w:val="24"/>
        </w:rPr>
        <w:t>Ἀθηναίοις.] παῖδας δὲ κατέλιπε [θανὼν] δύο, Θεσσαλὸν καὶ Δράκοντα, καὶ μαθητὰς παμπληθεῖς, ἐπιφανεστάτους δὲ τοὺς ἑαυτοῦ παῖδας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