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Σωσικράτης ὁ Κωμικός</w:t>
      </w:r>
      <w:r>
        <w:br/>
      </w:r>
      <w:r>
        <w:rPr>
          <w:i/>
          <w:color w:val="666666"/>
          <w:sz w:val="28"/>
        </w:rPr>
        <w:t xml:space="preserve">by Sosicrates the Comic Poet </w:t>
      </w:r>
    </w:p>
    <w:p/>
    <w:p>
      <w:r>
        <w:rPr>
          <w:rFonts w:ascii="Courier New" w:hAnsi="Courier New"/>
          <w:color w:val="555555"/>
          <w:sz w:val="20"/>
        </w:rPr>
        <w:t>[tit 1]</w:t>
      </w:r>
    </w:p>
    <w:p>
      <w:r>
        <w:rPr>
          <w:rFonts w:ascii="Gentium Plus" w:hAnsi="Gentium Plus"/>
          <w:sz w:val="24"/>
        </w:rPr>
        <w:t>ΠΑΡΑΚΑΤΑΘΗΚΗ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ὅταν γάρ, οἶμαι, λευκὸς ἄνθρωπος, παχύς, ἀργός, λάβῃ δίκελλαν εἰωθὼς τρυφᾶν πεντεστάτηρον, γίνεται τὸ πνεῦμ’ ἄνω.</w:t>
      </w:r>
    </w:p>
    <w:p>
      <w:r>
        <w:rPr>
          <w:rFonts w:ascii="Courier New" w:hAnsi="Courier New"/>
          <w:color w:val="555555"/>
          <w:sz w:val="20"/>
        </w:rPr>
        <w:t>[tit 2]</w:t>
      </w:r>
    </w:p>
    <w:p>
      <w:r>
        <w:rPr>
          <w:rFonts w:ascii="Gentium Plus" w:hAnsi="Gentium Plus"/>
          <w:sz w:val="24"/>
        </w:rPr>
        <w:t>ΦΙΛΑΔΕΛΦΟΙ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λεπτὴ δὲ κυρτοῖς ἐγγελῶσα κύμασιν αὔρα, κόρη Σκείρωνος, ἡσύχῳ ποδὶ</w:t>
      </w:r>
    </w:p>
    <w:p>
      <w:r>
        <w:rPr>
          <w:rFonts w:ascii="Courier New" w:hAnsi="Courier New"/>
          <w:color w:val="555555"/>
          <w:sz w:val="20"/>
        </w:rPr>
        <w:t>[tit 3-7]</w:t>
      </w:r>
    </w:p>
    <w:p>
      <w:r>
        <w:rPr>
          <w:rFonts w:ascii="Gentium Plus" w:hAnsi="Gentium Plus"/>
          <w:sz w:val="24"/>
        </w:rPr>
        <w:t>ΑΔΗΛΩΝ ΔΡΑΜΑΤΩΝ</w:t>
      </w:r>
    </w:p>
    <w:p>
      <w:r>
        <w:rPr>
          <w:rFonts w:ascii="Courier New" w:hAnsi="Courier New"/>
          <w:color w:val="555555"/>
          <w:sz w:val="20"/>
        </w:rPr>
        <w:t>[3]</w:t>
      </w:r>
    </w:p>
    <w:p>
      <w:r>
        <w:rPr>
          <w:rFonts w:ascii="Gentium Plus" w:hAnsi="Gentium Plus"/>
          <w:sz w:val="24"/>
        </w:rPr>
        <w:t>ἀγαθοὶ δὲ τὸ κακόν ἐσμεν ἐφ’ ἑτέρων ἰδεῖν, αὐτοὶ δ’ ὅταν ποιῶμεν οὐ γινώσκομεν.</w:t>
      </w:r>
    </w:p>
    <w:p>
      <w:r>
        <w:rPr>
          <w:rFonts w:ascii="Courier New" w:hAnsi="Courier New"/>
          <w:color w:val="555555"/>
          <w:sz w:val="20"/>
        </w:rPr>
        <w:t>[4]</w:t>
      </w:r>
    </w:p>
    <w:p>
      <w:r>
        <w:rPr>
          <w:rFonts w:ascii="Gentium Plus" w:hAnsi="Gentium Plus"/>
          <w:sz w:val="24"/>
        </w:rPr>
        <w:t>ὅταν ποθεῖν λέγῃ σε καὶ στέργειν γυνή, φοβοῦ παρ’ αὐτῆς πλείον’ ὧν λέγει κακά.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ἡ τῶν κολάκων εὔνοια καθάπερ ἐκ τροπῆς φεύγει τὰς ἀτυχίας.</w:t>
      </w:r>
    </w:p>
    <w:p>
      <w:r>
        <w:rPr>
          <w:rFonts w:ascii="Courier New" w:hAnsi="Courier New"/>
          <w:color w:val="555555"/>
          <w:sz w:val="20"/>
        </w:rPr>
        <w:t>[7]</w:t>
      </w:r>
    </w:p>
    <w:p>
      <w:r>
        <w:rPr>
          <w:rFonts w:ascii="Gentium Plus" w:hAnsi="Gentium Plus"/>
          <w:sz w:val="24"/>
        </w:rPr>
        <w:t>ἀμφίας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