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Σώστρατος ὁ Νύσσης</w:t>
      </w:r>
      <w:r>
        <w:br/>
      </w:r>
      <w:r>
        <w:rPr>
          <w:i/>
          <w:color w:val="666666"/>
          <w:sz w:val="28"/>
        </w:rPr>
        <w:t>by Sostratus of Nyssa</w:t>
      </w:r>
    </w:p>
    <w:p/>
    <w:p>
      <w:r>
        <w:rPr>
          <w:rFonts w:ascii="Courier New" w:hAnsi="Courier New"/>
          <w:color w:val="555555"/>
          <w:sz w:val="20"/>
        </w:rPr>
        <w:t>[1a,23,F 1]</w:t>
      </w:r>
    </w:p>
    <w:p>
      <w:r>
        <w:rPr>
          <w:rFonts w:ascii="Gentium Plus" w:hAnsi="Gentium Plus"/>
          <w:sz w:val="24"/>
        </w:rPr>
        <w:t>[PLUTARCH.] De fluv. 24, 4 (= STOBAE. Flor. IV 36, 21): γεννᾶται δ’ ἐν αὐτῶι (sc. ἐν Τίγριδι) βοτάνη, ἣ κριθῆι ἐστι παρόμοιος ἀγρίαι· ταύτην οἱ ἐγχώριοι θερμαίνοντες ἐν ἐλαίωι καὶ ἀλειφόμενοι οὐδέποτε νοσοῦσι μέχρι ἀνάγκης τοῦ θανάτου· καθὼς ἱστορεῖ Σώστρατος ἐν α Μυθικῆς Ἱστορίας 〈Συν〉αγωγῆς.</w:t>
      </w:r>
    </w:p>
    <w:p>
      <w:r>
        <w:rPr>
          <w:rFonts w:ascii="Courier New" w:hAnsi="Courier New"/>
          <w:color w:val="555555"/>
          <w:sz w:val="20"/>
        </w:rPr>
        <w:t>[1a,23,F 1bis]</w:t>
      </w:r>
    </w:p>
    <w:p>
      <w:r>
        <w:rPr>
          <w:rFonts w:ascii="Gentium Plus" w:hAnsi="Gentium Plus"/>
          <w:sz w:val="24"/>
        </w:rPr>
        <w:t>NATAL. COM. Myth. 9, 5 (p. 956 ed. Genev.): alii dicunt Atym</w:t>
      </w:r>
    </w:p>
    <w:p>
      <w:r>
        <w:rPr>
          <w:rFonts w:ascii="Courier New" w:hAnsi="Courier New"/>
          <w:color w:val="555555"/>
          <w:sz w:val="20"/>
        </w:rPr>
        <w:t>[5]</w:t>
      </w:r>
    </w:p>
    <w:p>
      <w:r>
        <w:rPr>
          <w:rFonts w:ascii="Gentium Plus" w:hAnsi="Gentium Plus"/>
          <w:sz w:val="24"/>
        </w:rPr>
        <w:t>vocata est Thyrrhenia, suscepit, ut ait Dorotheus Corinthius in Historiis (VI). At dea irata furorem immisit Atyi, qui sibi testes execuit, violentas etiam manus iugulo illaturus, nisi dea miserta in pinum arborem sibi consecratam convertisset. Alii tamen ex Hercule et Iole Tyrrhenum et Atym praedictum esse natos maluerunt, ut scripsit Sostratus in secundo Introductionis Historiae</w:t>
      </w:r>
    </w:p>
    <w:p>
      <w:r>
        <w:rPr>
          <w:rFonts w:ascii="Courier New" w:hAnsi="Courier New"/>
          <w:color w:val="555555"/>
          <w:sz w:val="20"/>
        </w:rPr>
        <w:t>[10]</w:t>
      </w:r>
    </w:p>
    <w:p>
      <w:r>
        <w:rPr>
          <w:rFonts w:ascii="Gentium Plus" w:hAnsi="Gentium Plus"/>
          <w:sz w:val="24"/>
        </w:rPr>
        <w:t>Fabulosae.</w:t>
      </w:r>
    </w:p>
    <w:p>
      <w:r>
        <w:rPr>
          <w:rFonts w:ascii="Courier New" w:hAnsi="Courier New"/>
          <w:color w:val="555555"/>
          <w:sz w:val="20"/>
        </w:rPr>
        <w:t>[1a,23,F 2]</w:t>
      </w:r>
    </w:p>
    <w:p>
      <w:r>
        <w:rPr>
          <w:rFonts w:ascii="Gentium Plus" w:hAnsi="Gentium Plus"/>
          <w:sz w:val="24"/>
        </w:rPr>
        <w:t>STOBAE. Flor. III 7, 67 (= PS. PLUT. Parall. min. 18 p. 310 A): Σωστράτου ἐν δευτέρωι Θραικικῶν. Ἀθηναῖοι πρὸς Θρᾶικας πόλεμον ἔχοντες στρατηγὸν ἐχειρο‐</w:t>
      </w:r>
    </w:p>
    <w:p>
      <w:r>
        <w:rPr>
          <w:rFonts w:ascii="Courier New" w:hAnsi="Courier New"/>
          <w:color w:val="555555"/>
          <w:sz w:val="20"/>
        </w:rPr>
        <w:t>[5]</w:t>
      </w:r>
    </w:p>
    <w:p>
      <w:r>
        <w:rPr>
          <w:rFonts w:ascii="Gentium Plus" w:hAnsi="Gentium Plus"/>
          <w:sz w:val="24"/>
        </w:rPr>
        <w:t>σχήματι συνέβαλε μάχην μετά τινων Θραικῶν ξυλιζομένων καὶ τῶι δρεπάνωι καιρίως ἐξ αὐτῶν ἕνα πλήξας ἀνεῖλεν· οἱ δὲ λοιποὶ τὴν περίστασιν τοῦ στρατηγήματος μὴ γινώσκοντες ἀπέκτειναν τὸν Κόδρον θέλοντα. συμβαλόντες δὲ τὸν πόλεμον Ἀθηναῖοι τῆς νίκης ἐγκρατεῖς ἐγένοντο.</w:t>
      </w:r>
    </w:p>
    <w:p>
      <w:r>
        <w:rPr>
          <w:rFonts w:ascii="Courier New" w:hAnsi="Courier New"/>
          <w:color w:val="555555"/>
          <w:sz w:val="20"/>
        </w:rPr>
        <w:t>[1a,23,F 3]</w:t>
      </w:r>
    </w:p>
    <w:p>
      <w:r>
        <w:rPr>
          <w:rFonts w:ascii="Gentium Plus" w:hAnsi="Gentium Plus"/>
          <w:sz w:val="24"/>
        </w:rPr>
        <w:t>STOBAE. Flor. IV 20, 72 (= Ps. PLUT. Parall. min. 28 p. 312 C D): Σωστράτου ἐν δευτέρωι Τυρρηνικῶν. Αἴολος τῶν κατὰ Τυρρηνίαν βασιλεὺς τόπων ἔσχεν ἐξ Ἀμφιθέας θυγατέρας ἓξ καὶ τὸν αὐτὸν ἀριθμὸν ἀρρένων παίδων, ὧν ὁ πρεσβύτατος Μακαρεὺς Κανάκης τῆς ἀδελφῆς ἐρασθεὶς ἐβιάσατο τὴν προειρημένην. Αἴολος δὲ περὶ τούτων</w:t>
      </w:r>
    </w:p>
    <w:p>
      <w:r>
        <w:rPr>
          <w:rFonts w:ascii="Courier New" w:hAnsi="Courier New"/>
          <w:color w:val="555555"/>
          <w:sz w:val="20"/>
        </w:rPr>
        <w:t>[5]</w:t>
      </w:r>
    </w:p>
    <w:p>
      <w:r>
        <w:rPr>
          <w:rFonts w:ascii="Gentium Plus" w:hAnsi="Gentium Plus"/>
          <w:sz w:val="24"/>
        </w:rPr>
        <w:t>μαθὼν τῆι θυγατρὶ ξίφος ἔπεμψεν· ἡ δὲ ὡς νόμον δεξαμένη τὸν σίδηρον αὑτὴν ἀνεῖλε. Μακαρεὺς δὲ τὸν γεννήσαντα προεξιλεωσάμενος ἔδραμεν εἰς τὸν θάλαμον· εὑρὼν δὲ τὴν ἀγαπωμένην αἱμορραγοῦσαν τῶι αὐτῶι ξίφει τὸν βίον περιέγραψε.</w:t>
      </w:r>
    </w:p>
    <w:p>
      <w:r>
        <w:rPr>
          <w:rFonts w:ascii="Courier New" w:hAnsi="Courier New"/>
          <w:color w:val="555555"/>
          <w:sz w:val="20"/>
        </w:rPr>
        <w:t>[1a,23,F 4]</w:t>
      </w:r>
    </w:p>
    <w:p>
      <w:r>
        <w:rPr>
          <w:rFonts w:ascii="Gentium Plus" w:hAnsi="Gentium Plus"/>
          <w:sz w:val="24"/>
        </w:rPr>
        <w:t>STOBAE. Flor. IV 20, 70: Σωστράτου ἐν β Κυνηγετικῶν. Κυάνιππος τῶι γένει Θεσσαλὸς γήμας Λευκώνην τὰ πολλὰ διὰ φιλοκύνηγον ἐνέργειαν ἐν ὕλαις διέτριβεν. ἡ δὲ νεόνυμφος ὑπολαμβάνουσα συνήθειαν αὐτὸν ἔχειν μεθ’ ἑτέρας γυναικός, κατ’ ἴχνος ἠκολούθησε τῶι προειρημένωι καὶ ἔν τινι κατακρυβεῖσα συνδένδρωι τὸ μέλλον</w:t>
      </w:r>
    </w:p>
    <w:p>
      <w:r>
        <w:rPr>
          <w:rFonts w:ascii="Courier New" w:hAnsi="Courier New"/>
          <w:color w:val="555555"/>
          <w:sz w:val="20"/>
        </w:rPr>
        <w:t>[5]</w:t>
      </w:r>
    </w:p>
    <w:p>
      <w:r>
        <w:rPr>
          <w:rFonts w:ascii="Gentium Plus" w:hAnsi="Gentium Plus"/>
          <w:sz w:val="24"/>
        </w:rPr>
        <w:t>ἀπεκαραδόκει. τῶν δὲ πέριξ κλάδων αἰφνιδίως σεισθέντων, οἱ στιβευταὶ κύνες 〈ὥρμησαν θηρίον εἶναι〉 δόξαντες καὶ αὐτὴν ἀλόγου ζώιου δίκην διεσπάραξαν. τῆς δὲ πράξεως αὐτόπτης γενόμενος Κυάνιππος ἑαυτὸν ἐπικατέσφαξεν.</w:t>
      </w:r>
    </w:p>
    <w:p>
      <w:r>
        <w:rPr>
          <w:rFonts w:ascii="Courier New" w:hAnsi="Courier New"/>
          <w:color w:val="555555"/>
          <w:sz w:val="20"/>
        </w:rPr>
        <w:t>[1a,23,F 5]</w:t>
      </w:r>
    </w:p>
    <w:p>
      <w:r>
        <w:rPr>
          <w:rFonts w:ascii="Gentium Plus" w:hAnsi="Gentium Plus"/>
          <w:sz w:val="24"/>
        </w:rPr>
        <w:t>[PLUTARCH.] De fluv. 2, 1: Ἰσμηνὸς ποταμός ἐστι τῆς Βοιωτίας κατὰ πόλιν Θήβας, ἐκαλεῖτο δὲ τὸ πρότερον Κάδμου ποὺς ἀπ’ αἰτίας τοιαύτης. Κάδμος τὸν κρηνοφύλακα δράκοντα τοξεύσας καὶ εὑρὼν ὥσπερ πεφαρμακευμένον φόνου τὸ ὕδωρ περιήρχετο τὴν χώραν ζητῶν πηγήν· γενόμενος δὲ κατὰ τὸ Κωρύκιον ἄντρον κατὰ πρόνοιαν</w:t>
      </w:r>
    </w:p>
    <w:p>
      <w:r>
        <w:rPr>
          <w:rFonts w:ascii="Courier New" w:hAnsi="Courier New"/>
          <w:color w:val="555555"/>
          <w:sz w:val="20"/>
        </w:rPr>
        <w:t>[5]</w:t>
      </w:r>
    </w:p>
    <w:p>
      <w:r>
        <w:rPr>
          <w:rFonts w:ascii="Gentium Plus" w:hAnsi="Gentium Plus"/>
          <w:sz w:val="24"/>
        </w:rPr>
        <w:t>Ἀθηνᾶς τὸν δεξιὸν πόδα βαθύτερον εἰς πηλὸν ἤρεισεν· ποταμοῦ δ’ ἀναδοθέντος ἐκ τοῦ τύπου ὁ ἥρως βουθυτήσας Κάδμου πόδα προσηγόρευσεν αὐτόν. μετὰ δέ τινα χρόνον Ἰσμηνός, Ἀμφίονος καὶ Νιόβης παῖς, ὑπ’ Ἀπόλλωνος τοξευθεὶς καὶ ἀλγηδόνι συνεχόμενος ἑαυτὸν ἔβαλεν εἰς τὸν προειρημένον ποταμόν, ὃς ἀπ’ αὐτοῦ Ἰσμηνὸς ὠνομάσθη· καθὼς ἱστορεῖ Σώστρατος ἐν β Περὶ ποταμῶν.</w:t>
      </w:r>
    </w:p>
    <w:p>
      <w:r>
        <w:rPr>
          <w:rFonts w:ascii="Courier New" w:hAnsi="Courier New"/>
          <w:color w:val="555555"/>
          <w:sz w:val="20"/>
        </w:rPr>
        <w:t>[1a,23,F 6]</w:t>
      </w:r>
    </w:p>
    <w:p>
      <w:r>
        <w:rPr>
          <w:rFonts w:ascii="Gentium Plus" w:hAnsi="Gentium Plus"/>
          <w:sz w:val="24"/>
        </w:rPr>
        <w:t>EUSTATH. HOM. Od. λ 538 p. 1696, 50: Ἀχιλλέα δὲ ὅτι Πάρις ἀνεῖλε τοξεύσας καθωμίληται. Σώστρατος δὲ ἱστορεῖ Ἀλέξανδρον Ἀπόλλωνος ἐρώμενον καὶ μαθητὴν</w:t>
      </w:r>
    </w:p>
    <w:p>
      <w:r>
        <w:rPr>
          <w:rFonts w:ascii="Courier New" w:hAnsi="Courier New"/>
          <w:color w:val="555555"/>
          <w:sz w:val="20"/>
        </w:rPr>
        <w:t>[1a,23,F 7]</w:t>
      </w:r>
    </w:p>
    <w:p>
      <w:r>
        <w:rPr>
          <w:rFonts w:ascii="Gentium Plus" w:hAnsi="Gentium Plus"/>
          <w:sz w:val="24"/>
        </w:rPr>
        <w:t>EUSTATH. HOM. Od. κ 492 p. 1665, 47: Καλλίμαχος δὲ λέγει τὸν Τει‐ ρεσίαν ἰδόντα γυμνὴν λουομένην τὴν Ἄρτεμιν περί που τὴν Βοιωτίαν πηρωθῆναι. Σώστρατος δὲ ἐν Τειρεσίαι—ποίημα δέ ἐστιν ἐλεγειακόν—φησὶ τὸν Τειρεσίαν θήλειαν τὴν ἀρχὴν γεννηθῆναι καὶ ἐκτραφῆναι ὑπὸ Χαρικλοῦς. καὶ ἑπτὰ ἐτῶν γενομένην</w:t>
      </w:r>
    </w:p>
    <w:p>
      <w:r>
        <w:rPr>
          <w:rFonts w:ascii="Courier New" w:hAnsi="Courier New"/>
          <w:color w:val="555555"/>
          <w:sz w:val="20"/>
        </w:rPr>
        <w:t>[5]</w:t>
      </w:r>
    </w:p>
    <w:p>
      <w:r>
        <w:rPr>
          <w:rFonts w:ascii="Gentium Plus" w:hAnsi="Gentium Plus"/>
          <w:sz w:val="24"/>
        </w:rPr>
        <w:t>ὀρειφοιτεῖν· ἐρασθῆναι δὲ αὐτῆς τὸν Ἀπόλλωνα καὶ ἐπὶ μισθῶι συνουσίας διδάξαι τὴν μουσικήν· τὴν δὲ μετὰ τὸ μαθεῖν μηκέτι ἑαυτὴν ἐπιδιδόναι τῶι Ἀπόλλωνι, κἀκεῖνον ἀνδρῶσαι αὐτήν, ἵνα πειρῶιτο ἔρωτος. καὶ αὐτὴν ἀνδρωθεῖσαν κρῖναι Δία καὶ Ἥραν, ὡς ἀνωτέρω ἐρρέθη. καὶ οὕτω πάλιν γυναικωθεῖσαν ἐρασθῆναι Κάλλωνος Ἀργείου, ἀφ’ οὗ σχεῖν παῖδα κατὰ χόλον Ἥρας τὰς ὄψεις διεστραμμένον· διὸ καὶ κληθῆναι</w:t>
      </w:r>
    </w:p>
    <w:p>
      <w:r>
        <w:rPr>
          <w:rFonts w:ascii="Courier New" w:hAnsi="Courier New"/>
          <w:color w:val="555555"/>
          <w:sz w:val="20"/>
        </w:rPr>
        <w:t>[10]</w:t>
      </w:r>
    </w:p>
    <w:p>
      <w:r>
        <w:rPr>
          <w:rFonts w:ascii="Gentium Plus" w:hAnsi="Gentium Plus"/>
          <w:sz w:val="24"/>
        </w:rPr>
        <w:t>Στράβωνα. μετὰ δὲ ταῦτα τοῦ ἐν Ἄργει ἀγάλματος τῆς Ἥρας καταγελῶσαν εἰς ἄνδρα μεταβληθῆναι ἀειδῆ, ὡς καὶ Πίθωνα λέγεσθαι. ἐλεηθεῖσαν δὲ ὑπὸ Διὸς εἰς γυναῖκα μορφωθῆναι αὖθις ὡραίαν καὶ ἀπελθεῖν εἰς Τροιζῆνα, ὅπου ἐρασθῆναι αὐτῆς Γλύφιον ἐγχώριον ἄνδρα καὶ ἐπιθέσθαι αὐτῆι λουομένηι· τὴν δὲ ἰσχύι περιγενομένην τοῦ μείρακος πνῖξαι αὐτόν· Ποσειδῶνα δέ, οὗ παιδικὰ ἦν ὁ Γλύφιος, ἐπιτρέψαι ταῖς</w:t>
      </w:r>
    </w:p>
    <w:p>
      <w:r>
        <w:rPr>
          <w:rFonts w:ascii="Courier New" w:hAnsi="Courier New"/>
          <w:color w:val="555555"/>
          <w:sz w:val="20"/>
        </w:rPr>
        <w:t>[15]</w:t>
      </w:r>
    </w:p>
    <w:p>
      <w:r>
        <w:rPr>
          <w:rFonts w:ascii="Gentium Plus" w:hAnsi="Gentium Plus"/>
          <w:sz w:val="24"/>
        </w:rPr>
        <w:t>Μοίραις δικάσαι περὶ τούτου· καὶ αὐτὰς εἰς Τειρεσίαν αὐτὴν μεταβαλεῖν καὶ ἀφελέσθαι τὴν μαντικήν. ἣν αὖθις μαθεῖν ὑπὸ Χείρωνος, καὶ δειπνῆσαι ἐν τοῖς Θέτιδος καὶ Πηλέως γάμοις. ἔνθα ἐρίσαι περὶ κάλλους τήν τε Ἀφροδίτην καὶ τὰς Χάριτας, αἷς ὀνόματα Πασιθέη Καλὴ καὶ Εὐφροσύνη. τὸν δὲ δικάσαντα κρῖναι καλὴν τὴν Καλήν, ἣν καὶ γῆμαι τὸν Ἥφαιστον, ὅθεν τὴν μὲν Ἀφροδίτην χολωθεῖσαν μεταβαλεῖν αὐτὸν</w:t>
      </w:r>
    </w:p>
    <w:p>
      <w:r>
        <w:rPr>
          <w:rFonts w:ascii="Courier New" w:hAnsi="Courier New"/>
          <w:color w:val="555555"/>
          <w:sz w:val="20"/>
        </w:rPr>
        <w:t>[20]</w:t>
      </w:r>
    </w:p>
    <w:p>
      <w:r>
        <w:rPr>
          <w:rFonts w:ascii="Gentium Plus" w:hAnsi="Gentium Plus"/>
          <w:sz w:val="24"/>
        </w:rPr>
        <w:t>εἰς γυναῖκα χερνῆτιν γραῖαν· τὴν δὲ Καλὴν χαίτας αὐτῆι ἀγαθὰς νεῖμαι καὶ εἰς Κρήτην ἀπαγαγεῖν, ἔνθα ἐρασθῆναι αὐτῆς Ἄραχνον, καὶ μιγέντα αὐχεῖν τῆι Ἀφροδίτηι μιγῆναι· ἐφ’ ὧι τὴν δαίμονα ὀργισθεῖσαν τὸν μὲν Ἄραχνον μεταβαλεῖν εἰς γαλῆν, Τειρεσίαν δὲ εἰς μῦν, ὅθεν καὶ ὀλίγα φησὶν ἐσθίει ὡς ἐκ γραός, καὶ μαντικός ἐστι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