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Ἀνώνυμον Στωϊκὸν ἀπόσπασμα</w:t>
      </w:r>
      <w:r>
        <w:br/>
      </w:r>
      <w:r>
        <w:rPr>
          <w:i/>
          <w:color w:val="666666"/>
          <w:sz w:val="28"/>
        </w:rPr>
        <w:t>by Stoic Fragment Anonymous</w:t>
      </w:r>
    </w:p>
    <w:p/>
    <w:p>
      <w:r>
        <w:rPr>
          <w:rFonts w:ascii="Courier New" w:hAnsi="Courier New"/>
          <w:color w:val="555555"/>
          <w:sz w:val="20"/>
        </w:rPr>
        <w:t>[631]</w:t>
      </w:r>
    </w:p>
    <w:p>
      <w:r>
        <w:rPr>
          <w:rFonts w:ascii="Gentium Plus" w:hAnsi="Gentium Plus"/>
          <w:sz w:val="24"/>
        </w:rPr>
        <w:t>Diocles Magnes apud Diog. Laërt. VII 54. ἄλλοι δέ τινες τῶν ἀρχαιοτέρων Στωϊκῶν τὸν ὀρθὸν λόγον κριτήριον ἀπολεί‐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