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Ἑρμηνεία περὶ πάντων ἁπλῶς καὶ περὶ τῶν φώτων (e</w:t>
      </w:r>
      <w:r>
        <w:br/>
      </w:r>
      <w:r>
        <w:rPr>
          <w:i/>
          <w:color w:val="666666"/>
          <w:sz w:val="40"/>
        </w:rPr>
        <w:t>Interpretation on Everything Simply and on Lights</w:t>
      </w:r>
    </w:p>
    <w:p>
      <w:pPr>
        <w:jc w:val="center"/>
      </w:pPr>
      <w:r>
        <w:rPr>
          <w:rFonts w:ascii="Times New Roman" w:hAnsi="Times New Roman"/>
          <w:color w:val="1E3A70"/>
          <w:sz w:val="32"/>
        </w:rPr>
        <w:t>Ζώσιμος ὁ Πανοπολίτης</w:t>
      </w:r>
      <w:r>
        <w:br/>
      </w:r>
      <w:r>
        <w:rPr>
          <w:i/>
          <w:color w:val="666666"/>
          <w:sz w:val="28"/>
        </w:rPr>
        <w:t>by Zosimus of Panopolis</w:t>
      </w:r>
    </w:p>
    <w:p/>
    <w:p>
      <w:pPr>
        <w:jc w:val="center"/>
      </w:pPr>
      <w:r>
        <w:rPr>
          <w:rFonts w:ascii="Gentium Plus" w:hAnsi="Gentium Plus"/>
          <w:b/>
          <w:sz w:val="24"/>
        </w:rPr>
        <w:t>ἙΡΜΗΝΕΙΑ ΠΕΡΙ ΠΑΝΤΩΝ ΑΠΛΩΣ ΚΑΙ ΠΕΡΙ</w:t>
      </w:r>
    </w:p>
    <w:p>
      <w:pPr>
        <w:jc w:val="center"/>
      </w:pPr>
      <w:r>
        <w:rPr>
          <w:rFonts w:ascii="Gentium Plus" w:hAnsi="Gentium Plus"/>
          <w:b/>
          <w:sz w:val="24"/>
        </w:rPr>
        <w:t>ΤΩΝ ΦΩΤΩΝ</w:t>
      </w:r>
    </w:p>
    <w:p>
      <w:r>
        <w:rPr>
          <w:rFonts w:ascii="Courier New" w:hAnsi="Courier New"/>
          <w:color w:val="555555"/>
          <w:sz w:val="20"/>
        </w:rPr>
        <w:t>[3]</w:t>
      </w:r>
    </w:p>
    <w:p>
      <w:r>
        <w:rPr>
          <w:rFonts w:ascii="Gentium Plus" w:hAnsi="Gentium Plus"/>
          <w:sz w:val="24"/>
        </w:rPr>
        <w:t>Βλέπε δὲ μὴ πλανηθῇς καὶ τὸν μόλυβδον καὶ τὸν χαλκὸν 〈οὐ〉 μόνον ξανθώσῃς, ἀλλὰ καὶ τὰ μεταλλικὰ εἴδη, τὰ λεγόμενα χρυσοζώ‐</w:t>
      </w:r>
    </w:p>
    <w:p>
      <w:r>
        <w:rPr>
          <w:rFonts w:ascii="Courier New" w:hAnsi="Courier New"/>
          <w:color w:val="555555"/>
          <w:sz w:val="20"/>
        </w:rPr>
        <w:t>[5]</w:t>
      </w:r>
    </w:p>
    <w:p>
      <w:r>
        <w:rPr>
          <w:rFonts w:ascii="Gentium Plus" w:hAnsi="Gentium Plus"/>
          <w:sz w:val="24"/>
        </w:rPr>
        <w:t>μιον, καὶ χρύσολον, ἅτινά εἰσιν τὸν ἀριθμὸν πλέον ἢ ἔλαττον οηʹ· οηʹ δὲ πλέον ἢ ἔλαττον εἶπον, ὅτι ἔλαβεν ὑδράργυρον. Δεῖ δὲ γινώσκειν πεῖραν καὶ τὴν δόναμιν μνημονεύει περὶ τῶν φώτων 〈καὶ〉 διοπτᾶν ἢ εἰσκρίνοντα τὸν σίδηρον. Οἱ μὲν γὰρ ἡμιώριον μόνον ὄπτησαν, οἱ δὲ ὥραν αʹ, ἄλλοι δὲ βʹ, ἕτεροι γʹ, τινὲς δὲ καὶ δʹ.</w:t>
      </w:r>
    </w:p>
    <w:p>
      <w:r>
        <w:rPr>
          <w:rFonts w:ascii="Courier New" w:hAnsi="Courier New"/>
          <w:color w:val="555555"/>
          <w:sz w:val="20"/>
        </w:rPr>
        <w:t>[10]</w:t>
      </w:r>
    </w:p>
    <w:p>
      <w:r>
        <w:rPr>
          <w:rFonts w:ascii="Gentium Plus" w:hAnsi="Gentium Plus"/>
          <w:sz w:val="24"/>
        </w:rPr>
        <w:t>Ἐλαφρὰ φῶτα πᾶσαν τὴν τέχνην ἀναφέρει, καὶ τὰ χρώματα ὄπτα, καὶ ἔα τέως ἀποψυγῇ· ἐν ὑέλοις βλέπῃς τὸ γινόμενον· οὕτως ξανθοῦται διὰ τῆς λειώσεως καὶ ἑψήσεως. Τοῦτο τὸ θεῖον ὕδωρ τὸ δίχρωμον, τὸ λευκὸν καὶ ξανθὸν, μυρίοις κεκλήκασιν ὀνόμασιν. Ἄνευ οὖν τοῦ θείου ὕδατος οὐδέν ἐστιν· τὸ γὰρ</w:t>
      </w:r>
    </w:p>
    <w:p>
      <w:r>
        <w:rPr>
          <w:rFonts w:ascii="Courier New" w:hAnsi="Courier New"/>
          <w:color w:val="555555"/>
          <w:sz w:val="20"/>
        </w:rPr>
        <w:t>[15]</w:t>
      </w:r>
    </w:p>
    <w:p>
      <w:r>
        <w:rPr>
          <w:rFonts w:ascii="Gentium Plus" w:hAnsi="Gentium Plus"/>
          <w:sz w:val="24"/>
        </w:rPr>
        <w:t>ὅλον σύνθεμα δι’ αὐτοῦ ἀναλαμβάνεται, καὶ δι’ αὐτοῦ ὀπτᾶται, καὶ δι’ αὐτοῦ καίεται, καὶ δι’ αὐτοῦ πήγνυται, καὶ δι’ αὐτοῦ ξανθοῦται, καὶ δι’ αὐτοῦ σήπτεται, καὶ δι’ αὐτοῦ βάπτεται, καὶ δι’ αὐτοῦ ἰοῦται καὶ ἐξιοῦται, καὶ ἑψεῖται. Φησὶν γάρ· Ἐπιβαλὼν ὕδωρ θείου ἄθικτον, καὶ κόμμι ὀλίγον, πᾶν σῶμα βάψεις. Ὅσα γὰρ ἀπὸ ὕδατος ἔσχον γένεσιν,</w:t>
      </w:r>
    </w:p>
    <w:p>
      <w:r>
        <w:rPr>
          <w:rFonts w:ascii="Courier New" w:hAnsi="Courier New"/>
          <w:color w:val="555555"/>
          <w:sz w:val="20"/>
        </w:rPr>
        <w:t>[20]</w:t>
      </w:r>
    </w:p>
    <w:p>
      <w:r>
        <w:rPr>
          <w:rFonts w:ascii="Gentium Plus" w:hAnsi="Gentium Plus"/>
          <w:sz w:val="24"/>
        </w:rPr>
        <w:t>ταῦτα τοῖς ἀπὸ τοῦ πυρὸς ἀντιπάσχει. Ὥστε ἄνευ τοῦ καταλόγου τῶν ὑγρῶν πάντων, οὐδέν ἐστιν ἀσφαλές.</w:t>
      </w:r>
    </w:p>
    <w:p>
      <w:r>
        <w:rPr>
          <w:rFonts w:ascii="Courier New" w:hAnsi="Courier New"/>
          <w:color w:val="555555"/>
          <w:sz w:val="20"/>
        </w:rPr>
        <w:t>[2 . 248]</w:t>
      </w:r>
    </w:p>
    <w:p>
      <w:r>
        <w:rPr>
          <w:rFonts w:ascii="Gentium Plus" w:hAnsi="Gentium Plus"/>
          <w:sz w:val="24"/>
        </w:rPr>
        <w:t>ὕδωρ ζύμης χάριν καταφθεῖραι τῷ ὁμοίῳ τὸ ὅμοιον τοῦ μέλλοντος βάπτεσθαι σώματος, εἴτε ἀργύρου, εἴτε χρυσοῦ. Ἐὰν ἄργυρον ἐθέλῃς βάπτειν, ἀργύρου πέταλα συσσήπτει· ἐὰν χρυσὸν, χρυσοῦ πέταλα· ὁ γὰρ Δημόκριτος· Ἐπίβαλλε, φησὶν, χρυσοῦ ὕδωρ κοινοῦ, καὶ βάψεις,</w:t>
      </w:r>
    </w:p>
    <w:p>
      <w:r>
        <w:rPr>
          <w:rFonts w:ascii="Courier New" w:hAnsi="Courier New"/>
          <w:color w:val="555555"/>
          <w:sz w:val="20"/>
        </w:rPr>
        <w:t>[5]</w:t>
      </w:r>
    </w:p>
    <w:p>
      <w:r>
        <w:rPr>
          <w:rFonts w:ascii="Gentium Plus" w:hAnsi="Gentium Plus"/>
          <w:sz w:val="24"/>
        </w:rPr>
        <w:t>καὶ χρυσὸν καὶ καταβάψεις· ὁ γὰρ εἷς ζωμὸς καὶ τὰ ἀμφότερα σήπει κατηγορεῖται. Ζυμοὶ τοίνυν χρὴ ἐκ τοῦ ὁμοίου τὸ ὕδωρ τοῦ θείου ἢ ἄργυρον, ἢ χρυσόν. Ὡς γὰρ ἡ ζύμη τοῦ ἄρτου, ὀλίγη οὖσα, τοσοῦτον φύραμα ζυμοῖ, οὕτω καὶ τὸ μικρὸν ἢ ἀργύρου ἢ χρυσοῦ 〈διὰ〉 τοῦ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