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σταθμῶν (fort. pars operis Χειρόμηκτα) (e</w:t>
      </w:r>
      <w:r>
        <w:br/>
      </w:r>
      <w:r>
        <w:rPr>
          <w:i/>
          <w:color w:val="666666"/>
          <w:sz w:val="40"/>
        </w:rPr>
        <w:t>On Weights</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ΠΕΡΙ ΣΤΑΘΜΩΝ</w:t>
      </w:r>
    </w:p>
    <w:p>
      <w:r>
        <w:rPr>
          <w:rFonts w:ascii="Courier New" w:hAnsi="Courier New"/>
          <w:color w:val="555555"/>
          <w:sz w:val="20"/>
        </w:rPr>
        <w:t>[16]</w:t>
      </w:r>
    </w:p>
    <w:p>
      <w:r>
        <w:rPr>
          <w:rFonts w:ascii="Gentium Plus" w:hAnsi="Gentium Plus"/>
          <w:sz w:val="24"/>
        </w:rPr>
        <w:t>Ὁ περὶ σταθμῶν λόγος τὸ πᾶν τῆς ἑψήσεως φαίνεται συνέχων μυστήριον· αὐτὸ γὰρ σύνθεσις, αὐτὸ σταθμὸς, αὐτὸ λεύκωσις, αὐτὸ ξάνθωσις. Ἠρέμα δέ πως ἐν τῷ περὶ συνθέσεως λόγῳ, ταῦτα πάλιν περὶ χαλκοῦ καὶ ἰώσεως. Φαίνεται δὲ καὶ αὐτὸς τοιοῦτον</w:t>
      </w:r>
    </w:p>
    <w:p>
      <w:r>
        <w:rPr>
          <w:rFonts w:ascii="Courier New" w:hAnsi="Courier New"/>
          <w:color w:val="555555"/>
          <w:sz w:val="20"/>
        </w:rPr>
        <w:t>[20]</w:t>
      </w:r>
    </w:p>
    <w:p>
      <w:r>
        <w:rPr>
          <w:rFonts w:ascii="Gentium Plus" w:hAnsi="Gentium Plus"/>
          <w:sz w:val="24"/>
        </w:rPr>
        <w:t>μόλυβδον λαμβάνων, ἀφ’ οὗ καὶ αὐτός· Σκόρπισον μολύβδῳ· οὐχ</w:t>
      </w:r>
    </w:p>
    <w:p>
      <w:r>
        <w:rPr>
          <w:rFonts w:ascii="Courier New" w:hAnsi="Courier New"/>
          <w:color w:val="555555"/>
          <w:sz w:val="20"/>
        </w:rPr>
        <w:t>[2 . 178]</w:t>
      </w:r>
    </w:p>
    <w:p>
      <w:r>
        <w:rPr>
          <w:rFonts w:ascii="Gentium Plus" w:hAnsi="Gentium Plus"/>
          <w:sz w:val="24"/>
        </w:rPr>
        <w:t>ἁπλῶς ἔλεγεν, ἀλλὰ τὸ ἀπὸ κοπτικοῦ καὶ λιθαργύρου μέλανι τῷ ἡμῶν. Ἡ δὲ σκόρπισις ἐμοὶ λείωσις φαίνεται, ὡς ἀποδείξω ἐκ πασῶν τῶν γραφῶν ἐν τῇ ἐμῇ κατενεργείᾳ περὶ τοῦ σταθμοῦ. Εἰώθασιν γὰρ δι’ ὧν καίουσιν ἢ σκορπίζουσιν ἢ ἐπιβάλλουσιν, διὰ τούτων συστα‐</w:t>
      </w:r>
    </w:p>
    <w:p>
      <w:r>
        <w:rPr>
          <w:rFonts w:ascii="Courier New" w:hAnsi="Courier New"/>
          <w:color w:val="555555"/>
          <w:sz w:val="20"/>
        </w:rPr>
        <w:t>[5]</w:t>
      </w:r>
    </w:p>
    <w:p>
      <w:r>
        <w:rPr>
          <w:rFonts w:ascii="Gentium Plus" w:hAnsi="Gentium Plus"/>
          <w:sz w:val="24"/>
        </w:rPr>
        <w:t>θμίζειν κεκρυμμένως· σταθμίζουσι τὸν μόλυβδον· ὃς καὶ διὰ τῆς διασκορπίσεως, καὶ συσταθμίζεται λεύκωσις καὶ ἴωσις διὰ τῆς ἐπι‐ βολῆς. «Ἐπίβαλλε γὰρ τοῦ λευκοῦ φαρμάκου τὸ ἥμισυ», καὶ τὰ ἑξῆς. Πάντα οὖν ἐν πᾶσι κέκρυπται τῇ τέχνῃ ἀπὸ συσταθμίσεως καὶ ἰώσεως, ὁμοῦ πάντα· ἐπειδὴ ἐκ τῆς προϊζανούσης θείου τῇ φιάλῃ,</w:t>
      </w:r>
    </w:p>
    <w:p>
      <w:r>
        <w:rPr>
          <w:rFonts w:ascii="Courier New" w:hAnsi="Courier New"/>
          <w:color w:val="555555"/>
          <w:sz w:val="20"/>
        </w:rPr>
        <w:t>[10]</w:t>
      </w:r>
    </w:p>
    <w:p>
      <w:r>
        <w:rPr>
          <w:rFonts w:ascii="Gentium Plus" w:hAnsi="Gentium Plus"/>
          <w:sz w:val="24"/>
        </w:rPr>
        <w:t>οὐχ ὁρᾶται τὸ ὑποκείμενον σύνθεμα πότε λευκανθῇ ἐξ αὐτῆς θείου γινώσκουσιν. Ὅταν γὰρ λευκὴ γένηται, τὸ τηνικαῦτα γινώσκεται καὶ τὸ ὑποκείμενον λευκανθέν. Ἔνθεν ὁ Ἀγαθοδαίμων καθ’ ἑκάσ‐ την λαμβάνειν θεῖον ἔλεγεν, ἢ λευκὴν ἢ οἵαν δήποτε. Ἐκείνη γὰρ ἡ μηνύουσα τὴν ὄπτησιν, ἣν ἁρπάζουσι καὶ κατακαίουσιν εἰς τὸ λεί‐</w:t>
      </w:r>
    </w:p>
    <w:p>
      <w:r>
        <w:rPr>
          <w:rFonts w:ascii="Courier New" w:hAnsi="Courier New"/>
          <w:color w:val="555555"/>
          <w:sz w:val="20"/>
        </w:rPr>
        <w:t>[15]</w:t>
      </w:r>
    </w:p>
    <w:p>
      <w:r>
        <w:rPr>
          <w:rFonts w:ascii="Gentium Plus" w:hAnsi="Gentium Plus"/>
          <w:sz w:val="24"/>
        </w:rPr>
        <w:t>ψανον τοῦ θείου, καὶ ἐκκρίνουσιν μᾶλλον ἢ ἐξίουσιν· λευκανθὲν γὰρ ἁρπάζουσιν. Ἐὰν γὰρ ἐάσωσιν, ἐπὶ τὸ ξανθὸν τρέπεται. Διὸ τοίνυν καὶ τοῦ θείου τοῦ λευκαίνοντος, τὸ πᾶν τοῦ σταθμοῦ παρὰ τῶν φιλο‐ σόφων ζητήσωμεν. Ἔχει οὖν ἐν τῇ ὑστέρᾳ τῶν ζωμῶν ἀρσενίκου 𐆄 αʹ, καὶ νίτρου ἥμισυ, καὶ φλοιῶν φύλλων περσέας ἁπαλῶν 𐆄 βʹ, καὶ</w:t>
      </w:r>
    </w:p>
    <w:p>
      <w:r>
        <w:rPr>
          <w:rFonts w:ascii="Courier New" w:hAnsi="Courier New"/>
          <w:color w:val="555555"/>
          <w:sz w:val="20"/>
        </w:rPr>
        <w:t>[20]</w:t>
      </w:r>
    </w:p>
    <w:p>
      <w:r>
        <w:rPr>
          <w:rFonts w:ascii="Gentium Plus" w:hAnsi="Gentium Plus"/>
          <w:sz w:val="24"/>
        </w:rPr>
        <w:t>ἅλας ἥμισυ, καὶ συκαμίνου χυλοῦ 𐆄 αʹ, καὶ στυπτηρίας σχιστῆς· τού‐ τοις συλλειώσας ὅλα ὁμοῦ ἐν ὄξει ἢ οὔρῳ, ἢ ἀσβέστου στάκτῃ,</w:t>
      </w:r>
    </w:p>
    <w:p>
      <w:r>
        <w:rPr>
          <w:rFonts w:ascii="Courier New" w:hAnsi="Courier New"/>
          <w:color w:val="555555"/>
          <w:sz w:val="20"/>
        </w:rPr>
        <w:t>[2 . 179]</w:t>
      </w:r>
    </w:p>
    <w:p>
      <w:r>
        <w:rPr>
          <w:rFonts w:ascii="Gentium Plus" w:hAnsi="Gentium Plus"/>
          <w:sz w:val="24"/>
        </w:rPr>
        <w:t>καὶ ἀποσκιώσεις ποιεῖ. Δεῖ οὖν τὰ λείποντα πάντα βάλλειν, πρό γε πάντων, ἀσβέστου μέρη βʹ πρὸς θείου καὶ ἀρσενίκου, καὶ σανδαράχης μέρος αʹ, καὶ τὰ ὕδατα· καὶ ποιήσαντες ὕδωρ λευκὸν μαρμάρῳ παρεμ‐</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