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Factor Informed Alternative Energy Portfolio</w:t>
      </w:r>
    </w:p>
    <w:p w:rsidR="00000000" w:rsidDel="00000000" w:rsidP="00000000" w:rsidRDefault="00000000" w:rsidRPr="00000000" w14:paraId="00000002">
      <w:pPr>
        <w:jc w:val="left"/>
        <w:rPr>
          <w:b w:val="1"/>
          <w:bCs w:val="1"/>
        </w:rPr>
      </w:pPr>
      <w:r w:rsidDel="00000000" w:rsidR="00000000" w:rsidRPr="00000000">
        <w:rPr>
          <w:rtl w:val="0"/>
        </w:rPr>
      </w:r>
    </w:p>
    <w:p w:rsidR="00000000" w:rsidDel="00000000" w:rsidP="00000000" w:rsidRDefault="00000000" w:rsidRPr="00000000" w14:paraId="00000003">
      <w:pPr>
        <w:jc w:val="left"/>
        <w:rPr/>
      </w:pPr>
      <w:r w:rsidDel="00000000" w:rsidR="00000000" w:rsidRPr="00000000">
        <w:rPr>
          <w:rtl w:val="0"/>
        </w:rPr>
        <w:t xml:space="preserve">Group 14: Shannon Carroll, Ruoxun Wang, Nikolay Poklonskii, Wuyou Ji</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numPr>
          <w:ilvl w:val="0"/>
          <w:numId w:val="1"/>
        </w:numPr>
        <w:ind w:left="720" w:hanging="360"/>
        <w:rPr>
          <w:b w:val="1"/>
          <w:bCs w:val="1"/>
          <w:u w:val="none"/>
        </w:rPr>
      </w:pPr>
      <w:r w:rsidDel="00000000" w:rsidR="00000000" w:rsidRPr="00000000">
        <w:rPr>
          <w:b w:val="1"/>
          <w:bCs w:val="1"/>
          <w:rtl w:val="0"/>
        </w:rPr>
        <w:t xml:space="preserve">Risky Asset Selection</w:t>
      </w:r>
    </w:p>
    <w:p w:rsidR="00000000" w:rsidDel="00000000" w:rsidP="00000000" w:rsidRDefault="00000000" w:rsidRPr="00000000" w14:paraId="00000006">
      <w:pPr>
        <w:spacing w:after="240" w:before="240" w:lineRule="auto"/>
        <w:ind w:left="0" w:firstLine="720"/>
        <w:rPr/>
      </w:pPr>
      <w:r w:rsidDel="00000000" w:rsidR="00000000" w:rsidRPr="00000000">
        <w:rPr>
          <w:rtl w:val="0"/>
        </w:rPr>
        <w:t xml:space="preserve">Our ETF selection was motivated by the growing emphasis on energy independence following geopolitical disruptions to oil supply chains. TAN tracks solar energy, which relies primarily on local production. FAN represents wind energy, which is also locally generated but dependent on global supply chains for turbine manufacturing. LIT captures lithium battery stocks, reflecting a shift from oil dependence to reliance on critical minerals sourced globally. ICLN and QCLN provide diversified exposure across clean energy sectors, including utilities, grid infrastructure, and electric vehicles, offering broader risk diversification than single-commodity energy investments. The benchmark is an equal-weighted basket of these five ETFs.</w:t>
      </w:r>
      <w:r w:rsidDel="00000000" w:rsidR="00000000" w:rsidRPr="00000000">
        <w:rPr>
          <w:rtl w:val="0"/>
        </w:rPr>
        <w:t xml:space="preserve">To assess shared systematic risk exposures, we performed a regression-based factor decomposition using SPY, QQQ, and TLT as proxies for market, growth, and interest rate risk, deliberately excluding commodities to preserve the clean energy theme.</w:t>
      </w:r>
    </w:p>
    <w:p w:rsidR="00000000" w:rsidDel="00000000" w:rsidP="00000000" w:rsidRDefault="00000000" w:rsidRPr="00000000" w14:paraId="00000007">
      <w:pPr>
        <w:rPr/>
      </w:pPr>
      <w:r w:rsidDel="00000000" w:rsidR="00000000" w:rsidRPr="00000000">
        <w:rPr>
          <w:rtl w:val="0"/>
        </w:rPr>
      </w:r>
    </w:p>
    <w:tbl>
      <w:tblPr>
        <w:tblStyle w:val="Table1"/>
        <w:tblW w:w="66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0"/>
        <w:gridCol w:w="1595"/>
        <w:gridCol w:w="1700"/>
        <w:gridCol w:w="1655"/>
        <w:gridCol w:w="770"/>
        <w:tblGridChange w:id="0">
          <w:tblGrid>
            <w:gridCol w:w="890"/>
            <w:gridCol w:w="1595"/>
            <w:gridCol w:w="1700"/>
            <w:gridCol w:w="1655"/>
            <w:gridCol w:w="770"/>
          </w:tblGrid>
        </w:tblGridChange>
      </w:tblGrid>
      <w:tr>
        <w:trPr>
          <w:cantSplit w:val="0"/>
          <w:trHeight w:val="515"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jc w:val="center"/>
              <w:rPr/>
            </w:pPr>
            <w:r w:rsidDel="00000000" w:rsidR="00000000" w:rsidRPr="00000000">
              <w:rPr>
                <w:b w:val="1"/>
                <w:bCs w:val="1"/>
                <w:rtl w:val="0"/>
              </w:rPr>
              <w:t xml:space="preserve">ETF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jc w:val="center"/>
              <w:rPr/>
            </w:pPr>
            <w:r w:rsidDel="00000000" w:rsidR="00000000" w:rsidRPr="00000000">
              <w:rPr>
                <w:b w:val="1"/>
                <w:bCs w:val="1"/>
                <w:rtl w:val="0"/>
              </w:rPr>
              <w:t xml:space="preserve">SPY β / t-stat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jc w:val="center"/>
              <w:rPr/>
            </w:pPr>
            <w:r w:rsidDel="00000000" w:rsidR="00000000" w:rsidRPr="00000000">
              <w:rPr>
                <w:b w:val="1"/>
                <w:bCs w:val="1"/>
                <w:rtl w:val="0"/>
              </w:rPr>
              <w:t xml:space="preserve">QQQ β / t-stat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pPr>
            <w:r w:rsidDel="00000000" w:rsidR="00000000" w:rsidRPr="00000000">
              <w:rPr>
                <w:b w:val="1"/>
                <w:bCs w:val="1"/>
                <w:rtl w:val="0"/>
              </w:rPr>
              <w:t xml:space="preserve">TLT β / t-stat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jc w:val="center"/>
              <w:rPr/>
            </w:pPr>
            <w:r w:rsidDel="00000000" w:rsidR="00000000" w:rsidRPr="00000000">
              <w:rPr>
                <w:b w:val="1"/>
                <w:bCs w:val="1"/>
                <w:rtl w:val="0"/>
              </w:rPr>
              <w:t xml:space="preserve">R²</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ICLN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0.6403 / 2.53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0.2503 / 1.06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0.0626 / 0.35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0.411</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TAN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1.0550 / 2.36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0.2157 / 0.51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0.1704 / 0.57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0.245</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FAN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0.6019 / 2.97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0.0348 / 0.19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0.1709 / 1.30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0.351</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LIT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0.9935 / 4.38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0.3419 / 1.60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-0.1842 / -1.20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0.442</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QCLN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0.9091 / 3.65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0.8014 / 3.42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-0.0224 / -0.13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0.566</w:t>
            </w:r>
          </w:p>
        </w:tc>
      </w:tr>
    </w:tbl>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spacing w:after="240" w:before="240" w:lineRule="auto"/>
        <w:ind w:firstLine="720"/>
        <w:rPr/>
      </w:pPr>
      <w:r w:rsidDel="00000000" w:rsidR="00000000" w:rsidRPr="00000000">
        <w:rPr>
          <w:rtl w:val="0"/>
        </w:rPr>
        <w:t xml:space="preserve">To assess systematic risk exposures, we performed a regression-based factor decomposition using SPY, QQQ, and TLT as proxies for market, growth, and interest rate risk. The results show strong market exposure across all ETFs, with SPY betas between 0.60 and 1.06. QCLN and LIT exhibit additional sensitivity to growth risk, consistent with the long-duration nature of clean energy investments. Interest rate exposure is weaker but remains economically relevant.</w:t>
      </w:r>
    </w:p>
    <w:p w:rsidR="00000000" w:rsidDel="00000000" w:rsidP="00000000" w:rsidRDefault="00000000" w:rsidRPr="00000000" w14:paraId="00000028">
      <w:pPr>
        <w:spacing w:after="240" w:before="240" w:lineRule="auto"/>
        <w:ind w:firstLine="720"/>
        <w:rPr/>
      </w:pPr>
      <w:r w:rsidDel="00000000" w:rsidR="00000000" w:rsidRPr="00000000">
        <w:rPr>
          <w:rtl w:val="0"/>
        </w:rPr>
        <w:t xml:space="preserve">We initially included SPY, QQQ, and TLT as hedge assets, but this allowed the optimizer to amplify factor exposures without improving performance. Instead, these variables were more effective as inputs to expected return estimation. WTI crude oil prices were added as an additional predictive factor to capture commodity and geopolitical risk. This led to our central question: can a factor-informed, constraint-based portfolio improve downside risk and tracking error while preserving long-run returns?</w:t>
      </w:r>
    </w:p>
    <w:p w:rsidR="00000000" w:rsidDel="00000000" w:rsidP="00000000" w:rsidRDefault="00000000" w:rsidRPr="00000000" w14:paraId="00000029">
      <w:pPr>
        <w:ind w:firstLine="720"/>
        <w:rPr/>
      </w:pPr>
      <w:r w:rsidDel="00000000" w:rsidR="00000000" w:rsidRPr="00000000">
        <w:rPr>
          <w:rtl w:val="0"/>
        </w:rPr>
      </w:r>
    </w:p>
    <w:p w:rsidR="00000000" w:rsidDel="00000000" w:rsidP="00000000" w:rsidRDefault="00000000" w:rsidRPr="00000000" w14:paraId="0000002A">
      <w:pPr>
        <w:numPr>
          <w:ilvl w:val="0"/>
          <w:numId w:val="1"/>
        </w:numPr>
        <w:ind w:left="720" w:hanging="360"/>
        <w:rPr>
          <w:b w:val="1"/>
          <w:bCs w:val="1"/>
        </w:rPr>
      </w:pPr>
      <w:r w:rsidDel="00000000" w:rsidR="00000000" w:rsidRPr="00000000">
        <w:rPr>
          <w:b w:val="1"/>
          <w:bCs w:val="1"/>
          <w:rtl w:val="0"/>
        </w:rPr>
        <w:t xml:space="preserve">Portfolio Construction and Optimization Framework</w:t>
      </w: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ab/>
        <w:t xml:space="preserve">The first iteration of the active strategy used a benchmark-plus-active-tilt structure. The optimizer was looking to tilt away from the benchmark to improve returns without taking uncontrolled risk. The benchmark was the equal-weight core ETF basket, and the optimizer selected active tilts around that benchmark. The optimization was not purely return-seeking; it is a risk-reallocation problem across macroeconomic factors. The investable universe included the five core ETFs plus SPY, QQQ, and TLT. The fully invested portfolio weights had to sum to 1. </w:t>
      </w:r>
    </w:p>
    <w:p w:rsidR="00000000" w:rsidDel="00000000" w:rsidP="00000000" w:rsidRDefault="00000000" w:rsidRPr="00000000" w14:paraId="0000002D">
      <w:pPr>
        <w:rPr/>
      </w:pPr>
      <w:r w:rsidDel="00000000" w:rsidR="00000000" w:rsidRPr="00000000">
        <w:rPr>
          <w:rtl w:val="0"/>
        </w:rPr>
        <w:t xml:space="preserve">The initial optimization was mean-variance based and attempted to maximize expected return adjusted for portfolio risk.</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tbl>
      <w:tblPr>
        <w:tblStyle w:val="Table2"/>
        <w:tblW w:w="75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85"/>
        <w:gridCol w:w="1710"/>
        <w:gridCol w:w="1725"/>
        <w:gridCol w:w="2010"/>
        <w:tblGridChange w:id="0">
          <w:tblGrid>
            <w:gridCol w:w="2085"/>
            <w:gridCol w:w="1710"/>
            <w:gridCol w:w="1725"/>
            <w:gridCol w:w="201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jc w:val="center"/>
              <w:rPr/>
            </w:pPr>
            <w:r w:rsidDel="00000000" w:rsidR="00000000" w:rsidRPr="00000000">
              <w:rPr>
                <w:b w:val="1"/>
                <w:bCs w:val="1"/>
                <w:rtl w:val="0"/>
              </w:rPr>
              <w:t xml:space="preserve">Metric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jc w:val="center"/>
              <w:rPr/>
            </w:pPr>
            <w:r w:rsidDel="00000000" w:rsidR="00000000" w:rsidRPr="00000000">
              <w:rPr>
                <w:b w:val="1"/>
                <w:bCs w:val="1"/>
                <w:rtl w:val="0"/>
              </w:rPr>
              <w:t xml:space="preserve">Basic Optimization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b w:val="1"/>
                <w:bCs w:val="1"/>
                <w:rtl w:val="0"/>
              </w:rPr>
              <w:t xml:space="preserve">Constrained Optimization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jc w:val="center"/>
              <w:rPr/>
            </w:pPr>
            <w:r w:rsidDel="00000000" w:rsidR="00000000" w:rsidRPr="00000000">
              <w:rPr>
                <w:b w:val="1"/>
                <w:bCs w:val="1"/>
                <w:rtl w:val="0"/>
              </w:rPr>
              <w:t xml:space="preserve">Equal-Weight Benchmark</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Annualized Return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b w:val="1"/>
                <w:bCs w:val="1"/>
                <w:rtl w:val="0"/>
              </w:rPr>
              <w:t xml:space="preserve">11.75%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b w:val="1"/>
                <w:bCs w:val="1"/>
                <w:rtl w:val="0"/>
              </w:rPr>
              <w:t xml:space="preserve">14.53%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b w:val="1"/>
                <w:bCs w:val="1"/>
                <w:rtl w:val="0"/>
              </w:rPr>
              <w:t xml:space="preserve">14.01%</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Annualized Volatility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b w:val="1"/>
                <w:bCs w:val="1"/>
                <w:rtl w:val="0"/>
              </w:rPr>
              <w:t xml:space="preserve">36.61%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b w:val="1"/>
                <w:bCs w:val="1"/>
                <w:rtl w:val="0"/>
              </w:rPr>
              <w:t xml:space="preserve">32.59%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b w:val="1"/>
                <w:bCs w:val="1"/>
                <w:rtl w:val="0"/>
              </w:rPr>
              <w:t xml:space="preserve">25.53%</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Sharpe Ratio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b w:val="1"/>
                <w:bCs w:val="1"/>
                <w:rtl w:val="0"/>
              </w:rPr>
              <w:t xml:space="preserve">0.321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b w:val="1"/>
                <w:bCs w:val="1"/>
                <w:rtl w:val="0"/>
              </w:rPr>
              <w:t xml:space="preserve">0.446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b w:val="1"/>
                <w:bCs w:val="1"/>
                <w:rtl w:val="0"/>
              </w:rPr>
              <w:t xml:space="preserve">0.549</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Max Drawdown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b w:val="1"/>
                <w:bCs w:val="1"/>
                <w:rtl w:val="0"/>
              </w:rPr>
              <w:t xml:space="preserve">-74.08%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b w:val="1"/>
                <w:bCs w:val="1"/>
                <w:rtl w:val="0"/>
              </w:rPr>
              <w:t xml:space="preserve">-70.60%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b w:val="1"/>
                <w:bCs w:val="1"/>
                <w:rtl w:val="0"/>
              </w:rPr>
              <w:t xml:space="preserve">-54.75%</w:t>
            </w: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t xml:space="preserve"> </w:t>
      </w:r>
    </w:p>
    <w:p w:rsidR="00000000" w:rsidDel="00000000" w:rsidP="00000000" w:rsidRDefault="00000000" w:rsidRPr="00000000" w14:paraId="00000045">
      <w:pPr>
        <w:ind w:firstLine="720"/>
        <w:rPr>
          <w:b w:val="1"/>
          <w:bCs w:val="1"/>
        </w:rPr>
      </w:pPr>
      <w:r w:rsidDel="00000000" w:rsidR="00000000" w:rsidRPr="00000000">
        <w:rPr>
          <w:rtl w:val="0"/>
        </w:rPr>
        <w:t xml:space="preserve">The baseline optimizer was highly unstable. With limited constraints, it produced large long and short positions. In the updated code, the basic optimization produced an annualized return of about 11.75%, annualized volatility of 36.61%, a Sharpe ratio of 0.321, and a max drawdown of -74.08%, compared with the equal-weight benchmark Sharpe of 0.549 and max drawdown of -54.75%. Although the constrained optimization improved performance—raising the annualized return to 14.53%, reducing volatility to 32.59%, and improving the Sharpe ratio to 0.446—it still underperformed the benchmark on a risk-adjusted basis and exhibited significantly worse drawdowns. The weight diagnostics continued to show extreme allocations, including large positions in QQQ and TLT, confirming that the optimizer was exploiting noisy estimates rather than producing a robust portfolio.</w:t>
      </w:r>
      <w:r w:rsidDel="00000000" w:rsidR="00000000" w:rsidRPr="00000000">
        <w:rPr>
          <w:rtl w:val="0"/>
        </w:rPr>
      </w:r>
    </w:p>
    <w:p w:rsidR="00000000" w:rsidDel="00000000" w:rsidP="00000000" w:rsidRDefault="00000000" w:rsidRPr="00000000" w14:paraId="00000046">
      <w:pPr>
        <w:ind w:firstLine="720"/>
        <w:rPr/>
      </w:pPr>
      <w:r w:rsidDel="00000000" w:rsidR="00000000" w:rsidRPr="00000000">
        <w:rPr>
          <w:rtl w:val="0"/>
        </w:rPr>
      </w:r>
    </w:p>
    <w:tbl>
      <w:tblPr>
        <w:tblStyle w:val="Table3"/>
        <w:tblW w:w="65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30"/>
        <w:gridCol w:w="2940"/>
        <w:gridCol w:w="2715"/>
        <w:tblGridChange w:id="0">
          <w:tblGrid>
            <w:gridCol w:w="930"/>
            <w:gridCol w:w="2940"/>
            <w:gridCol w:w="2715"/>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7">
            <w:pPr>
              <w:spacing w:line="240" w:lineRule="auto"/>
              <w:ind w:left="0" w:firstLine="0"/>
              <w:jc w:val="left"/>
              <w:rPr/>
            </w:pPr>
            <w:r w:rsidDel="00000000" w:rsidR="00000000" w:rsidRPr="00000000">
              <w:rPr>
                <w:b w:val="1"/>
                <w:bCs w:val="1"/>
                <w:rtl w:val="0"/>
              </w:rPr>
              <w:t xml:space="preserve">Asset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8">
            <w:pPr>
              <w:spacing w:line="240" w:lineRule="auto"/>
              <w:ind w:left="0" w:firstLine="0"/>
              <w:jc w:val="left"/>
              <w:rPr/>
            </w:pPr>
            <w:r w:rsidDel="00000000" w:rsidR="00000000" w:rsidRPr="00000000">
              <w:rPr>
                <w:b w:val="1"/>
                <w:bCs w:val="1"/>
                <w:rtl w:val="0"/>
              </w:rPr>
              <w:t xml:space="preserve">Unconstrained Avg Weight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9">
            <w:pPr>
              <w:spacing w:line="240" w:lineRule="auto"/>
              <w:ind w:left="0" w:firstLine="0"/>
              <w:jc w:val="left"/>
              <w:rPr/>
            </w:pPr>
            <w:r w:rsidDel="00000000" w:rsidR="00000000" w:rsidRPr="00000000">
              <w:rPr>
                <w:b w:val="1"/>
                <w:bCs w:val="1"/>
                <w:rtl w:val="0"/>
              </w:rPr>
              <w:t xml:space="preserve">Constrained Avg Weight</w:t>
            </w:r>
            <w:r w:rsidDel="00000000" w:rsidR="00000000" w:rsidRPr="00000000">
              <w:rPr>
                <w:rtl w:val="0"/>
              </w:rPr>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A">
            <w:pPr>
              <w:spacing w:line="240" w:lineRule="auto"/>
              <w:rPr>
                <w:b w:val="1"/>
                <w:bCs w:val="1"/>
              </w:rPr>
            </w:pPr>
            <w:r w:rsidDel="00000000" w:rsidR="00000000" w:rsidRPr="00000000">
              <w:rPr>
                <w:rtl w:val="0"/>
              </w:rPr>
              <w:t xml:space="preserve">ICLN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B">
            <w:pPr>
              <w:spacing w:line="240" w:lineRule="auto"/>
              <w:ind w:firstLine="720"/>
              <w:rPr/>
            </w:pPr>
            <w:r w:rsidDel="00000000" w:rsidR="00000000" w:rsidRPr="00000000">
              <w:rPr>
                <w:rtl w:val="0"/>
              </w:rPr>
              <w:t xml:space="preserve">-12.08%</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C">
            <w:pPr>
              <w:spacing w:line="240" w:lineRule="auto"/>
              <w:ind w:left="0" w:firstLine="0"/>
              <w:jc w:val="left"/>
              <w:rPr/>
            </w:pPr>
            <w:r w:rsidDel="00000000" w:rsidR="00000000" w:rsidRPr="00000000">
              <w:rPr>
                <w:rtl w:val="0"/>
              </w:rPr>
              <w:t xml:space="preserve">               25.00%</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D">
            <w:pPr>
              <w:spacing w:line="240" w:lineRule="auto"/>
              <w:rPr/>
            </w:pPr>
            <w:r w:rsidDel="00000000" w:rsidR="00000000" w:rsidRPr="00000000">
              <w:rPr>
                <w:rtl w:val="0"/>
              </w:rPr>
              <w:t xml:space="preserve">TAN</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E">
            <w:pPr>
              <w:spacing w:line="240" w:lineRule="auto"/>
              <w:ind w:firstLine="720"/>
              <w:rPr/>
            </w:pPr>
            <w:r w:rsidDel="00000000" w:rsidR="00000000" w:rsidRPr="00000000">
              <w:rPr>
                <w:rtl w:val="0"/>
              </w:rPr>
              <w:t xml:space="preserve">27.88%</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4F">
            <w:pPr>
              <w:spacing w:line="240" w:lineRule="auto"/>
              <w:ind w:left="0" w:firstLine="0"/>
              <w:jc w:val="left"/>
              <w:rPr/>
            </w:pPr>
            <w:r w:rsidDel="00000000" w:rsidR="00000000" w:rsidRPr="00000000">
              <w:rPr>
                <w:rtl w:val="0"/>
              </w:rPr>
              <w:t xml:space="preserve">               28.11%</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0">
            <w:pPr>
              <w:spacing w:line="240" w:lineRule="auto"/>
              <w:rPr/>
            </w:pPr>
            <w:r w:rsidDel="00000000" w:rsidR="00000000" w:rsidRPr="00000000">
              <w:rPr>
                <w:rtl w:val="0"/>
              </w:rPr>
              <w:t xml:space="preserve">FAN</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1">
            <w:pPr>
              <w:spacing w:line="240" w:lineRule="auto"/>
              <w:ind w:firstLine="720"/>
              <w:rPr/>
            </w:pPr>
            <w:r w:rsidDel="00000000" w:rsidR="00000000" w:rsidRPr="00000000">
              <w:rPr>
                <w:rtl w:val="0"/>
              </w:rPr>
              <w:t xml:space="preserve">17.50%</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2">
            <w:pPr>
              <w:spacing w:line="240" w:lineRule="auto"/>
              <w:ind w:left="0" w:firstLine="0"/>
              <w:jc w:val="left"/>
              <w:rPr/>
            </w:pPr>
            <w:r w:rsidDel="00000000" w:rsidR="00000000" w:rsidRPr="00000000">
              <w:rPr>
                <w:rtl w:val="0"/>
              </w:rPr>
              <w:t xml:space="preserve">               25.15%</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3">
            <w:pPr>
              <w:spacing w:line="240" w:lineRule="auto"/>
              <w:rPr/>
            </w:pPr>
            <w:r w:rsidDel="00000000" w:rsidR="00000000" w:rsidRPr="00000000">
              <w:rPr>
                <w:rtl w:val="0"/>
              </w:rPr>
              <w:t xml:space="preserve">LIT</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4">
            <w:pPr>
              <w:spacing w:line="240" w:lineRule="auto"/>
              <w:ind w:firstLine="720"/>
              <w:rPr/>
            </w:pPr>
            <w:r w:rsidDel="00000000" w:rsidR="00000000" w:rsidRPr="00000000">
              <w:rPr>
                <w:rtl w:val="0"/>
              </w:rPr>
              <w:t xml:space="preserve">11.88%</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5">
            <w:pPr>
              <w:spacing w:line="240" w:lineRule="auto"/>
              <w:ind w:left="0" w:firstLine="0"/>
              <w:jc w:val="left"/>
              <w:rPr/>
            </w:pPr>
            <w:r w:rsidDel="00000000" w:rsidR="00000000" w:rsidRPr="00000000">
              <w:rPr>
                <w:rtl w:val="0"/>
              </w:rPr>
              <w:t xml:space="preserve">               27.89%</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6">
            <w:pPr>
              <w:spacing w:line="240" w:lineRule="auto"/>
              <w:rPr/>
            </w:pPr>
            <w:r w:rsidDel="00000000" w:rsidR="00000000" w:rsidRPr="00000000">
              <w:rPr>
                <w:rtl w:val="0"/>
              </w:rPr>
              <w:t xml:space="preserve">QCLN</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7">
            <w:pPr>
              <w:spacing w:line="240" w:lineRule="auto"/>
              <w:ind w:firstLine="720"/>
              <w:rPr/>
            </w:pPr>
            <w:r w:rsidDel="00000000" w:rsidR="00000000" w:rsidRPr="00000000">
              <w:rPr>
                <w:rtl w:val="0"/>
              </w:rPr>
              <w:t xml:space="preserve">26.77%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8">
            <w:pPr>
              <w:spacing w:line="240" w:lineRule="auto"/>
              <w:ind w:left="0" w:firstLine="0"/>
              <w:jc w:val="left"/>
              <w:rPr/>
            </w:pPr>
            <w:r w:rsidDel="00000000" w:rsidR="00000000" w:rsidRPr="00000000">
              <w:rPr>
                <w:rtl w:val="0"/>
              </w:rPr>
              <w:t xml:space="preserve">               25.86%</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9">
            <w:pPr>
              <w:spacing w:line="240" w:lineRule="auto"/>
              <w:rPr/>
            </w:pPr>
            <w:r w:rsidDel="00000000" w:rsidR="00000000" w:rsidRPr="00000000">
              <w:rPr>
                <w:rtl w:val="0"/>
              </w:rPr>
              <w:t xml:space="preserve">SPY</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A">
            <w:pPr>
              <w:spacing w:line="240" w:lineRule="auto"/>
              <w:ind w:firstLine="720"/>
              <w:rPr/>
            </w:pPr>
            <w:r w:rsidDel="00000000" w:rsidR="00000000" w:rsidRPr="00000000">
              <w:rPr>
                <w:rtl w:val="0"/>
              </w:rPr>
              <w:t xml:space="preserve">19.50%</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B">
            <w:pPr>
              <w:spacing w:line="240" w:lineRule="auto"/>
              <w:ind w:left="0" w:firstLine="0"/>
              <w:jc w:val="left"/>
              <w:rPr/>
            </w:pPr>
            <w:r w:rsidDel="00000000" w:rsidR="00000000" w:rsidRPr="00000000">
              <w:rPr>
                <w:rtl w:val="0"/>
              </w:rPr>
              <w:t xml:space="preserve">              -13.81%</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C">
            <w:pPr>
              <w:spacing w:line="240" w:lineRule="auto"/>
              <w:rPr/>
            </w:pPr>
            <w:r w:rsidDel="00000000" w:rsidR="00000000" w:rsidRPr="00000000">
              <w:rPr>
                <w:rtl w:val="0"/>
              </w:rPr>
              <w:t xml:space="preserve">QQQ</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D">
            <w:pPr>
              <w:spacing w:line="240" w:lineRule="auto"/>
              <w:ind w:firstLine="720"/>
              <w:rPr/>
            </w:pPr>
            <w:r w:rsidDel="00000000" w:rsidR="00000000" w:rsidRPr="00000000">
              <w:rPr>
                <w:rtl w:val="0"/>
              </w:rPr>
              <w:t xml:space="preserve">44.42%</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E">
            <w:pPr>
              <w:spacing w:line="240" w:lineRule="auto"/>
              <w:ind w:left="0" w:firstLine="0"/>
              <w:jc w:val="left"/>
              <w:rPr/>
            </w:pPr>
            <w:r w:rsidDel="00000000" w:rsidR="00000000" w:rsidRPr="00000000">
              <w:rPr>
                <w:rtl w:val="0"/>
              </w:rPr>
              <w:t xml:space="preserve">              -3.45%</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5F">
            <w:pPr>
              <w:spacing w:line="240" w:lineRule="auto"/>
              <w:rPr/>
            </w:pPr>
            <w:r w:rsidDel="00000000" w:rsidR="00000000" w:rsidRPr="00000000">
              <w:rPr>
                <w:rtl w:val="0"/>
              </w:rPr>
              <w:t xml:space="preserve">TLT</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0">
            <w:pPr>
              <w:spacing w:line="240" w:lineRule="auto"/>
              <w:ind w:firstLine="720"/>
              <w:rPr/>
            </w:pPr>
            <w:r w:rsidDel="00000000" w:rsidR="00000000" w:rsidRPr="00000000">
              <w:rPr>
                <w:rtl w:val="0"/>
              </w:rPr>
              <w:t xml:space="preserve">-35.87%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1">
            <w:pPr>
              <w:spacing w:line="240" w:lineRule="auto"/>
              <w:ind w:left="0" w:firstLine="0"/>
              <w:jc w:val="left"/>
              <w:rPr/>
            </w:pPr>
            <w:r w:rsidDel="00000000" w:rsidR="00000000" w:rsidRPr="00000000">
              <w:rPr>
                <w:rtl w:val="0"/>
              </w:rPr>
              <w:t xml:space="preserve">              -5.02%</w:t>
            </w:r>
          </w:p>
        </w:tc>
      </w:tr>
    </w:tbl>
    <w:p w:rsidR="00000000" w:rsidDel="00000000" w:rsidP="00000000" w:rsidRDefault="00000000" w:rsidRPr="00000000" w14:paraId="00000062">
      <w:pPr>
        <w:spacing w:after="240" w:before="240" w:lineRule="auto"/>
        <w:ind w:left="0" w:firstLine="0"/>
        <w:rPr/>
      </w:pPr>
      <w:r w:rsidDel="00000000" w:rsidR="00000000" w:rsidRPr="00000000">
        <w:rPr>
          <w:rtl w:val="0"/>
        </w:rPr>
      </w:r>
    </w:p>
    <w:p w:rsidR="00000000" w:rsidDel="00000000" w:rsidP="00000000" w:rsidRDefault="00000000" w:rsidRPr="00000000" w14:paraId="00000063">
      <w:pPr>
        <w:spacing w:after="240" w:before="240" w:lineRule="auto"/>
        <w:ind w:firstLine="720"/>
        <w:rPr/>
      </w:pPr>
      <w:r w:rsidDel="00000000" w:rsidR="00000000" w:rsidRPr="00000000">
        <w:rPr>
          <w:rtl w:val="0"/>
        </w:rPr>
        <w:t xml:space="preserve">We made initial improvements by introducing tighter portfolio constraints. The core clean energy ETFs were constrained to remain positive, while SPY, QQQ, and TLT were allowed to be shorted within controlled limits. This was designed to preserve the clean energy identity of the strategy while allowing the hedge ETFs to adjust factor exposure. This change improved portfolio stability relative to the unconstrained case, but the optimizer still exhibited significant risk. In the constrained version, annualized volatility declined from 36.61% to 32.59%, the Sharpe ratio improved from 0.321 to 0.446, and max drawdown improved from -74.08% to -70.60%. The constrained weights were more controlled, with core ETF weights remaining between roughly 25% and 45%, and hedge ETF positions limited to approximately ±15%. The optimizer still required guardrails because unconstrained mean-variance optimization remained highly sensitive to estimation error.</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1"/>
        </w:numPr>
        <w:ind w:left="720" w:hanging="360"/>
        <w:rPr>
          <w:b w:val="1"/>
          <w:bCs w:val="1"/>
        </w:rPr>
      </w:pPr>
      <w:r w:rsidDel="00000000" w:rsidR="00000000" w:rsidRPr="00000000">
        <w:rPr>
          <w:b w:val="1"/>
          <w:bCs w:val="1"/>
          <w:rtl w:val="0"/>
        </w:rPr>
        <w:t xml:space="preserve">Estimation Strategies for Computing μ and Σ and Selecting Rebalancing Frequency</w:t>
      </w:r>
    </w:p>
    <w:p w:rsidR="00000000" w:rsidDel="00000000" w:rsidP="00000000" w:rsidRDefault="00000000" w:rsidRPr="00000000" w14:paraId="00000066">
      <w:pPr>
        <w:spacing w:after="240" w:before="240" w:lineRule="auto"/>
        <w:ind w:left="0" w:firstLine="720"/>
        <w:rPr/>
      </w:pPr>
      <w:r w:rsidDel="00000000" w:rsidR="00000000" w:rsidRPr="00000000">
        <w:rPr>
          <w:rtl w:val="0"/>
        </w:rPr>
        <w:t xml:space="preserve">To improve portfolio stability, we focused on refining expected return estimation. With only a 36-month rolling window, sample mean returns were highly noisy, which led the optimizer to produce unstable allocations. To address this, expected returns were shrunk toward zero. Under the constrained active portfolio, this raised the Sharpe ratio from 0.44 to 0.47, reduced volatility from 29.36% to 28.64%, and improved max drawdown from -62.29% to -59.97%. In contrast, Ledoit-Wolf covariance shrinkage alone did not meaningfully improve results, indicating that instability in μ—not Σ—was the primary issue.</w:t>
      </w:r>
    </w:p>
    <w:p w:rsidR="00000000" w:rsidDel="00000000" w:rsidP="00000000" w:rsidRDefault="00000000" w:rsidRPr="00000000" w14:paraId="00000067">
      <w:pPr>
        <w:spacing w:after="240" w:before="240" w:lineRule="auto"/>
        <w:ind w:left="0" w:firstLine="0"/>
        <w:jc w:val="center"/>
        <w:rPr>
          <w:b w:val="1"/>
          <w:bCs w:val="1"/>
        </w:rPr>
      </w:pPr>
      <w:r w:rsidDel="00000000" w:rsidR="00000000" w:rsidRPr="00000000">
        <w:rPr>
          <w:b w:val="1"/>
          <w:bCs w:val="1"/>
          <w:rtl w:val="0"/>
        </w:rPr>
        <w:t xml:space="preserve">Impact of μ and Σ Estimation Methods</w:t>
      </w:r>
    </w:p>
    <w:p w:rsidR="00000000" w:rsidDel="00000000" w:rsidP="00000000" w:rsidRDefault="00000000" w:rsidRPr="00000000" w14:paraId="00000068">
      <w:pPr>
        <w:ind w:firstLine="720"/>
        <w:rPr/>
      </w:pPr>
      <w:r w:rsidDel="00000000" w:rsidR="00000000" w:rsidRPr="00000000">
        <w:rPr>
          <w:rtl w:val="0"/>
        </w:rPr>
      </w:r>
    </w:p>
    <w:tbl>
      <w:tblPr>
        <w:tblStyle w:val="Table4"/>
        <w:tblW w:w="93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05"/>
        <w:gridCol w:w="1455"/>
        <w:gridCol w:w="1635"/>
        <w:gridCol w:w="1860"/>
        <w:gridCol w:w="1200"/>
        <w:gridCol w:w="1890"/>
        <w:tblGridChange w:id="0">
          <w:tblGrid>
            <w:gridCol w:w="1305"/>
            <w:gridCol w:w="1455"/>
            <w:gridCol w:w="1635"/>
            <w:gridCol w:w="1860"/>
            <w:gridCol w:w="1200"/>
            <w:gridCol w:w="189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9">
            <w:pPr>
              <w:spacing w:line="240" w:lineRule="auto"/>
              <w:rPr/>
            </w:pPr>
            <w:r w:rsidDel="00000000" w:rsidR="00000000" w:rsidRPr="00000000">
              <w:rPr>
                <w:b w:val="1"/>
                <w:bCs w:val="1"/>
                <w:rtl w:val="0"/>
              </w:rPr>
              <w:t xml:space="preserve">Metric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A">
            <w:pPr>
              <w:spacing w:after="240" w:before="240" w:lineRule="auto"/>
              <w:jc w:val="center"/>
              <w:rPr/>
            </w:pPr>
            <w:r w:rsidDel="00000000" w:rsidR="00000000" w:rsidRPr="00000000">
              <w:rPr>
                <w:b w:val="1"/>
                <w:bCs w:val="1"/>
                <w:rtl w:val="0"/>
              </w:rPr>
              <w:t xml:space="preserve">Sample μ + Sample 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B">
            <w:pPr>
              <w:spacing w:after="240" w:before="240" w:lineRule="auto"/>
              <w:jc w:val="center"/>
              <w:rPr/>
            </w:pPr>
            <w:r w:rsidDel="00000000" w:rsidR="00000000" w:rsidRPr="00000000">
              <w:rPr>
                <w:b w:val="1"/>
                <w:bCs w:val="1"/>
                <w:rtl w:val="0"/>
              </w:rPr>
              <w:t xml:space="preserve">Shrink μ + Sample 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C">
            <w:pPr>
              <w:spacing w:after="240" w:before="240" w:lineRule="auto"/>
              <w:jc w:val="center"/>
              <w:rPr>
                <w:b w:val="1"/>
                <w:bCs w:val="1"/>
              </w:rPr>
            </w:pPr>
            <w:r w:rsidDel="00000000" w:rsidR="00000000" w:rsidRPr="00000000">
              <w:rPr>
                <w:b w:val="1"/>
                <w:bCs w:val="1"/>
                <w:rtl w:val="0"/>
              </w:rPr>
              <w:t xml:space="preserve">Sample μ + LW Σ</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D">
            <w:pPr>
              <w:spacing w:after="240" w:before="240" w:lineRule="auto"/>
              <w:jc w:val="center"/>
              <w:rPr>
                <w:b w:val="1"/>
                <w:bCs w:val="1"/>
              </w:rPr>
            </w:pPr>
            <w:r w:rsidDel="00000000" w:rsidR="00000000" w:rsidRPr="00000000">
              <w:rPr>
                <w:b w:val="1"/>
                <w:bCs w:val="1"/>
                <w:rtl w:val="0"/>
              </w:rPr>
              <w:t xml:space="preserve">Shrink μ + LW Σ</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E">
            <w:pPr>
              <w:spacing w:after="240" w:before="240" w:lineRule="auto"/>
              <w:jc w:val="center"/>
              <w:rPr>
                <w:b w:val="1"/>
                <w:bCs w:val="1"/>
              </w:rPr>
            </w:pPr>
            <w:r w:rsidDel="00000000" w:rsidR="00000000" w:rsidRPr="00000000">
              <w:rPr>
                <w:b w:val="1"/>
                <w:bCs w:val="1"/>
                <w:rtl w:val="0"/>
              </w:rPr>
              <w:t xml:space="preserve">Equal-Weight Benchmark</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6F">
            <w:pPr>
              <w:spacing w:line="240" w:lineRule="auto"/>
              <w:rPr>
                <w:b w:val="1"/>
                <w:bCs w:val="1"/>
              </w:rPr>
            </w:pPr>
            <w:r w:rsidDel="00000000" w:rsidR="00000000" w:rsidRPr="00000000">
              <w:rPr>
                <w:rtl w:val="0"/>
              </w:rPr>
              <w:t xml:space="preserve">Annualized Return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0">
            <w:pPr>
              <w:spacing w:line="240" w:lineRule="auto"/>
              <w:ind w:left="0" w:firstLine="0"/>
              <w:rPr/>
            </w:pPr>
            <w:r w:rsidDel="00000000" w:rsidR="00000000" w:rsidRPr="00000000">
              <w:rPr>
                <w:rtl w:val="0"/>
              </w:rPr>
              <w:t xml:space="preserve">12.91%</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1">
            <w:pPr>
              <w:spacing w:line="240" w:lineRule="auto"/>
              <w:rPr/>
            </w:pPr>
            <w:r w:rsidDel="00000000" w:rsidR="00000000" w:rsidRPr="00000000">
              <w:rPr>
                <w:rtl w:val="0"/>
              </w:rPr>
              <w:t xml:space="preserve">13.48%</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2">
            <w:pPr>
              <w:spacing w:line="240" w:lineRule="auto"/>
              <w:rPr/>
            </w:pPr>
            <w:r w:rsidDel="00000000" w:rsidR="00000000" w:rsidRPr="00000000">
              <w:rPr>
                <w:rtl w:val="0"/>
              </w:rPr>
              <w:t xml:space="preserve">12.77%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3">
            <w:pPr>
              <w:spacing w:line="240" w:lineRule="auto"/>
              <w:rPr/>
            </w:pPr>
            <w:r w:rsidDel="00000000" w:rsidR="00000000" w:rsidRPr="00000000">
              <w:rPr>
                <w:rtl w:val="0"/>
              </w:rPr>
              <w:t xml:space="preserve">13.44%</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4">
            <w:pPr>
              <w:spacing w:line="240" w:lineRule="auto"/>
              <w:rPr/>
            </w:pPr>
            <w:r w:rsidDel="00000000" w:rsidR="00000000" w:rsidRPr="00000000">
              <w:rPr>
                <w:rtl w:val="0"/>
              </w:rPr>
              <w:t xml:space="preserve">13.78%</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5">
            <w:pPr>
              <w:spacing w:line="240" w:lineRule="auto"/>
              <w:rPr/>
            </w:pPr>
            <w:r w:rsidDel="00000000" w:rsidR="00000000" w:rsidRPr="00000000">
              <w:rPr>
                <w:rtl w:val="0"/>
              </w:rPr>
              <w:t xml:space="preserve">Annualized Volatility</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6">
            <w:pPr>
              <w:spacing w:line="240" w:lineRule="auto"/>
              <w:ind w:left="0" w:firstLine="0"/>
              <w:rPr/>
            </w:pPr>
            <w:r w:rsidDel="00000000" w:rsidR="00000000" w:rsidRPr="00000000">
              <w:rPr>
                <w:rtl w:val="0"/>
              </w:rPr>
              <w:t xml:space="preserve">29.36%</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7">
            <w:pPr>
              <w:spacing w:line="240" w:lineRule="auto"/>
              <w:rPr/>
            </w:pPr>
            <w:r w:rsidDel="00000000" w:rsidR="00000000" w:rsidRPr="00000000">
              <w:rPr>
                <w:rtl w:val="0"/>
              </w:rPr>
              <w:t xml:space="preserve">28.64%</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8">
            <w:pPr>
              <w:spacing w:line="240" w:lineRule="auto"/>
              <w:rPr/>
            </w:pPr>
            <w:r w:rsidDel="00000000" w:rsidR="00000000" w:rsidRPr="00000000">
              <w:rPr>
                <w:rtl w:val="0"/>
              </w:rPr>
              <w:t xml:space="preserve">29.42%</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9">
            <w:pPr>
              <w:spacing w:line="240" w:lineRule="auto"/>
              <w:rPr/>
            </w:pPr>
            <w:r w:rsidDel="00000000" w:rsidR="00000000" w:rsidRPr="00000000">
              <w:rPr>
                <w:rtl w:val="0"/>
              </w:rPr>
              <w:t xml:space="preserve">28.72%</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A">
            <w:pPr>
              <w:spacing w:line="240" w:lineRule="auto"/>
              <w:rPr/>
            </w:pPr>
            <w:r w:rsidDel="00000000" w:rsidR="00000000" w:rsidRPr="00000000">
              <w:rPr>
                <w:rtl w:val="0"/>
              </w:rPr>
              <w:t xml:space="preserve">25.49%</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B">
            <w:pPr>
              <w:spacing w:line="240" w:lineRule="auto"/>
              <w:rPr/>
            </w:pPr>
            <w:r w:rsidDel="00000000" w:rsidR="00000000" w:rsidRPr="00000000">
              <w:rPr>
                <w:rtl w:val="0"/>
              </w:rPr>
              <w:t xml:space="preserve">Sharpe Ratio</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C">
            <w:pPr>
              <w:spacing w:line="240" w:lineRule="auto"/>
              <w:ind w:left="0" w:firstLine="0"/>
              <w:rPr/>
            </w:pPr>
            <w:r w:rsidDel="00000000" w:rsidR="00000000" w:rsidRPr="00000000">
              <w:rPr>
                <w:rtl w:val="0"/>
              </w:rPr>
              <w:t xml:space="preserve">0.44</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D">
            <w:pPr>
              <w:spacing w:line="240" w:lineRule="auto"/>
              <w:rPr/>
            </w:pPr>
            <w:r w:rsidDel="00000000" w:rsidR="00000000" w:rsidRPr="00000000">
              <w:rPr>
                <w:rtl w:val="0"/>
              </w:rPr>
              <w:t xml:space="preserve">0.47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E">
            <w:pPr>
              <w:spacing w:line="240" w:lineRule="auto"/>
              <w:rPr/>
            </w:pPr>
            <w:r w:rsidDel="00000000" w:rsidR="00000000" w:rsidRPr="00000000">
              <w:rPr>
                <w:rtl w:val="0"/>
              </w:rPr>
              <w:t xml:space="preserve">0.43</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7F">
            <w:pPr>
              <w:spacing w:line="240" w:lineRule="auto"/>
              <w:rPr/>
            </w:pPr>
            <w:r w:rsidDel="00000000" w:rsidR="00000000" w:rsidRPr="00000000">
              <w:rPr>
                <w:rtl w:val="0"/>
              </w:rPr>
              <w:t xml:space="preserve">0.47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0">
            <w:pPr>
              <w:spacing w:line="240" w:lineRule="auto"/>
              <w:rPr/>
            </w:pPr>
            <w:r w:rsidDel="00000000" w:rsidR="00000000" w:rsidRPr="00000000">
              <w:rPr>
                <w:rtl w:val="0"/>
              </w:rPr>
              <w:t xml:space="preserve">0.54</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1">
            <w:pPr>
              <w:spacing w:line="240" w:lineRule="auto"/>
              <w:rPr/>
            </w:pPr>
            <w:r w:rsidDel="00000000" w:rsidR="00000000" w:rsidRPr="00000000">
              <w:rPr>
                <w:rtl w:val="0"/>
              </w:rPr>
              <w:t xml:space="preserve">Max Drawdown</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2">
            <w:pPr>
              <w:spacing w:line="240" w:lineRule="auto"/>
              <w:ind w:left="0" w:firstLine="0"/>
              <w:rPr/>
            </w:pPr>
            <w:r w:rsidDel="00000000" w:rsidR="00000000" w:rsidRPr="00000000">
              <w:rPr>
                <w:rtl w:val="0"/>
              </w:rPr>
              <w:t xml:space="preserve">-62.29%</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3">
            <w:pPr>
              <w:spacing w:line="240" w:lineRule="auto"/>
              <w:rPr/>
            </w:pPr>
            <w:r w:rsidDel="00000000" w:rsidR="00000000" w:rsidRPr="00000000">
              <w:rPr>
                <w:rtl w:val="0"/>
              </w:rPr>
              <w:t xml:space="preserve">-59.97%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4">
            <w:pPr>
              <w:spacing w:line="240" w:lineRule="auto"/>
              <w:rPr/>
            </w:pPr>
            <w:r w:rsidDel="00000000" w:rsidR="00000000" w:rsidRPr="00000000">
              <w:rPr>
                <w:rtl w:val="0"/>
              </w:rPr>
              <w:t xml:space="preserve">-62.07</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5">
            <w:pPr>
              <w:spacing w:line="240" w:lineRule="auto"/>
              <w:rPr/>
            </w:pPr>
            <w:r w:rsidDel="00000000" w:rsidR="00000000" w:rsidRPr="00000000">
              <w:rPr>
                <w:rtl w:val="0"/>
              </w:rPr>
              <w:t xml:space="preserve">-60.19%</w:t>
            </w:r>
          </w:p>
        </w:tc>
        <w:tc>
          <w:tcPr>
            <w:tcBorders>
              <w:top w:color="000000" w:space="0" w:sz="4" w:val="single"/>
              <w:left w:color="000000" w:space="0" w:sz="4" w:val="single"/>
              <w:bottom w:color="000000" w:space="0" w:sz="4" w:val="single"/>
              <w:right w:color="000000" w:space="0" w:sz="4" w:val="single"/>
            </w:tcBorders>
            <w:tcMar>
              <w:top w:w="43.2" w:type="dxa"/>
              <w:left w:w="43.2" w:type="dxa"/>
              <w:bottom w:w="43.2" w:type="dxa"/>
              <w:right w:w="43.2" w:type="dxa"/>
            </w:tcMar>
            <w:vAlign w:val="center"/>
          </w:tcPr>
          <w:p w:rsidR="00000000" w:rsidDel="00000000" w:rsidP="00000000" w:rsidRDefault="00000000" w:rsidRPr="00000000" w14:paraId="00000086">
            <w:pPr>
              <w:spacing w:line="240" w:lineRule="auto"/>
              <w:rPr/>
            </w:pPr>
            <w:r w:rsidDel="00000000" w:rsidR="00000000" w:rsidRPr="00000000">
              <w:rPr>
                <w:rtl w:val="0"/>
              </w:rPr>
              <w:t xml:space="preserve">-54.75%</w:t>
            </w:r>
          </w:p>
        </w:tc>
      </w:tr>
    </w:tbl>
    <w:p w:rsidR="00000000" w:rsidDel="00000000" w:rsidP="00000000" w:rsidRDefault="00000000" w:rsidRPr="00000000" w14:paraId="00000087">
      <w:pPr>
        <w:spacing w:after="240" w:before="240" w:lineRule="auto"/>
        <w:ind w:left="0" w:firstLine="0"/>
        <w:rPr/>
      </w:pPr>
      <w:r w:rsidDel="00000000" w:rsidR="00000000" w:rsidRPr="00000000">
        <w:rPr>
          <w:rtl w:val="0"/>
        </w:rPr>
      </w:r>
    </w:p>
    <w:p w:rsidR="00000000" w:rsidDel="00000000" w:rsidP="00000000" w:rsidRDefault="00000000" w:rsidRPr="00000000" w14:paraId="00000088">
      <w:pPr>
        <w:spacing w:after="200" w:lineRule="auto"/>
        <w:ind w:firstLine="720"/>
        <w:rPr/>
      </w:pPr>
      <w:r w:rsidDel="00000000" w:rsidR="00000000" w:rsidRPr="00000000">
        <w:rPr>
          <w:rFonts w:ascii="Arial Unicode MS" w:cs="Arial Unicode MS" w:eastAsia="Arial Unicode MS" w:hAnsi="Arial Unicode MS"/>
          <w:rtl w:val="0"/>
        </w:rPr>
        <w:t xml:space="preserve">Despite these improvements, the 8-asset portfolio continued to underperform the benchmark. The best-performing variant (“Constrained + Shrink μ + Sample Σ + Monthly”) still exhibited lower Sharpe, higher volatility, and worse drawdowns. A Fama-French six-factor regression further confirmed that the strategy failed to generate alpha (annualized α ≈ -0.17%, insignificant t-stat) and instead increased market exposure (β ≈ 1.23). This indicated that the optimizer was using SPY, QQQ, and TLT to amplify factor exposures rather than improve efficiency. These findings motivated a structural change: rather than including SPY, QQQ, and TLT as investable assets, we used them as predictive variables for estimating expected returns. WTI was added as an additional macroeconomic factor to capture oil price dynamics. The final model returned to a five-ETF universe (ICLN, TAN, FAN, LIT, QCLN) with long-only constraints and a 40% cap per asset.</w:t>
      </w:r>
    </w:p>
    <w:p w:rsidR="00000000" w:rsidDel="00000000" w:rsidP="00000000" w:rsidRDefault="00000000" w:rsidRPr="00000000" w14:paraId="00000089">
      <w:pPr>
        <w:spacing w:after="200" w:lineRule="auto"/>
        <w:ind w:firstLine="720"/>
        <w:rPr/>
      </w:pPr>
      <w:r w:rsidDel="00000000" w:rsidR="00000000" w:rsidRPr="00000000">
        <w:rPr>
          <w:rtl w:val="0"/>
        </w:rPr>
        <w:t xml:space="preserve">Expected returns were estimated using a factor-based model with several key refinements to improve robustness. First, factor inputs were smoothed using a 12-month trailing average to reduce noise in the predictors. Second, factor-implied expected returns were combined with historical mean returns to form an ensemble estimate of μ, rather than relying exclusively on either source. This allowed the model to incorporate both forward-looking macro information and long-run statistical trends. Finally, the combined μ estimate was shrunk toward zero to reduce sensitivity to estimation error and prevent the optimizer from overreacting to noisy signals. Together, these adjustments produced a more stable and economically meaningful estimate of expected returns, which was critical to improving portfolio performance.</w:t>
      </w:r>
      <w:r w:rsidDel="00000000" w:rsidR="00000000" w:rsidRPr="00000000">
        <w:rPr>
          <w:rtl w:val="0"/>
        </w:rPr>
      </w:r>
    </w:p>
    <w:p w:rsidR="00000000" w:rsidDel="00000000" w:rsidP="00000000" w:rsidRDefault="00000000" w:rsidRPr="00000000" w14:paraId="0000008A">
      <w:pPr>
        <w:spacing w:after="240" w:before="240" w:lineRule="auto"/>
        <w:ind w:firstLine="720"/>
        <w:jc w:val="center"/>
        <w:rPr>
          <w:b w:val="1"/>
          <w:bCs w:val="1"/>
        </w:rPr>
      </w:pPr>
      <w:r w:rsidDel="00000000" w:rsidR="00000000" w:rsidRPr="00000000">
        <w:rPr>
          <w:b w:val="1"/>
          <w:bCs w:val="1"/>
          <w:rtl w:val="0"/>
        </w:rPr>
        <w:t xml:space="preserve">Final Portfolio Weights</w:t>
      </w:r>
    </w:p>
    <w:p w:rsidR="00000000" w:rsidDel="00000000" w:rsidP="00000000" w:rsidRDefault="00000000" w:rsidRPr="00000000" w14:paraId="0000008B">
      <w:pPr>
        <w:rPr/>
      </w:pPr>
      <w:r w:rsidDel="00000000" w:rsidR="00000000" w:rsidRPr="00000000">
        <w:rPr>
          <w:rtl w:val="0"/>
        </w:rPr>
      </w:r>
    </w:p>
    <w:tbl>
      <w:tblPr>
        <w:tblStyle w:val="Table5"/>
        <w:tblW w:w="75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85"/>
        <w:gridCol w:w="1710"/>
        <w:gridCol w:w="1725"/>
        <w:gridCol w:w="2010"/>
        <w:tblGridChange w:id="0">
          <w:tblGrid>
            <w:gridCol w:w="2085"/>
            <w:gridCol w:w="1710"/>
            <w:gridCol w:w="1725"/>
            <w:gridCol w:w="201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jc w:val="center"/>
              <w:rPr/>
            </w:pPr>
            <w:r w:rsidDel="00000000" w:rsidR="00000000" w:rsidRPr="00000000">
              <w:rPr>
                <w:b w:val="1"/>
                <w:bCs w:val="1"/>
                <w:rtl w:val="0"/>
              </w:rPr>
              <w:t xml:space="preserve">ETF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jc w:val="center"/>
              <w:rPr/>
            </w:pPr>
            <w:r w:rsidDel="00000000" w:rsidR="00000000" w:rsidRPr="00000000">
              <w:rPr>
                <w:b w:val="1"/>
                <w:bCs w:val="1"/>
                <w:rtl w:val="0"/>
              </w:rPr>
              <w:t xml:space="preserve">Average Weight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jc w:val="center"/>
              <w:rPr/>
            </w:pPr>
            <w:r w:rsidDel="00000000" w:rsidR="00000000" w:rsidRPr="00000000">
              <w:rPr>
                <w:b w:val="1"/>
                <w:bCs w:val="1"/>
                <w:rtl w:val="0"/>
              </w:rPr>
              <w:t xml:space="preserve">Minimum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jc w:val="center"/>
              <w:rPr/>
            </w:pPr>
            <w:r w:rsidDel="00000000" w:rsidR="00000000" w:rsidRPr="00000000">
              <w:rPr>
                <w:b w:val="1"/>
                <w:bCs w:val="1"/>
                <w:rtl w:val="0"/>
              </w:rPr>
              <w:t xml:space="preserve">Maximum</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t xml:space="preserve">ICLN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b w:val="1"/>
                <w:bCs w:val="1"/>
                <w:rtl w:val="0"/>
              </w:rPr>
              <w:t xml:space="preserve">19.62%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b w:val="1"/>
                <w:bCs w:val="1"/>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b w:val="1"/>
                <w:bCs w:val="1"/>
                <w:rtl w:val="0"/>
              </w:rPr>
              <w:t xml:space="preserve">40%</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t xml:space="preserve">TAN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b w:val="1"/>
                <w:bCs w:val="1"/>
                <w:rtl w:val="0"/>
              </w:rPr>
              <w:t xml:space="preserve">0.32%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b w:val="1"/>
                <w:bCs w:val="1"/>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b w:val="1"/>
                <w:bCs w:val="1"/>
                <w:rtl w:val="0"/>
              </w:rPr>
              <w:t xml:space="preserve">20%</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t xml:space="preserve">FAN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b w:val="1"/>
                <w:bCs w:val="1"/>
                <w:rtl w:val="0"/>
              </w:rPr>
              <w:t xml:space="preserve">37.43%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b w:val="1"/>
                <w:bCs w:val="1"/>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b w:val="1"/>
                <w:bCs w:val="1"/>
                <w:rtl w:val="0"/>
              </w:rPr>
              <w:t xml:space="preserve">40%</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t xml:space="preserve">LIT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b w:val="1"/>
                <w:bCs w:val="1"/>
                <w:rtl w:val="0"/>
              </w:rPr>
              <w:t xml:space="preserve">26.12%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b w:val="1"/>
                <w:bCs w:val="1"/>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b w:val="1"/>
                <w:bCs w:val="1"/>
                <w:rtl w:val="0"/>
              </w:rPr>
              <w:t xml:space="preserve">40%</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rPr/>
            </w:pPr>
            <w:r w:rsidDel="00000000" w:rsidR="00000000" w:rsidRPr="00000000">
              <w:rPr>
                <w:rtl w:val="0"/>
              </w:rPr>
              <w:t xml:space="preserve">QCLN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rPr>
                <w:b w:val="1"/>
                <w:bCs w:val="1"/>
              </w:rPr>
            </w:pPr>
            <w:r w:rsidDel="00000000" w:rsidR="00000000" w:rsidRPr="00000000">
              <w:rPr>
                <w:b w:val="1"/>
                <w:bCs w:val="1"/>
                <w:rtl w:val="0"/>
              </w:rPr>
              <w:t xml:space="preserve">16.50%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rPr>
                <w:b w:val="1"/>
                <w:bCs w:val="1"/>
              </w:rPr>
            </w:pPr>
            <w:r w:rsidDel="00000000" w:rsidR="00000000" w:rsidRPr="00000000">
              <w:rPr>
                <w:b w:val="1"/>
                <w:bCs w:val="1"/>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rPr>
                <w:b w:val="1"/>
                <w:bCs w:val="1"/>
              </w:rPr>
            </w:pPr>
            <w:r w:rsidDel="00000000" w:rsidR="00000000" w:rsidRPr="00000000">
              <w:rPr>
                <w:b w:val="1"/>
                <w:bCs w:val="1"/>
                <w:rtl w:val="0"/>
              </w:rPr>
              <w:t xml:space="preserve">40%</w:t>
            </w:r>
          </w:p>
        </w:tc>
      </w:tr>
    </w:tbl>
    <w:p w:rsidR="00000000" w:rsidDel="00000000" w:rsidP="00000000" w:rsidRDefault="00000000" w:rsidRPr="00000000" w14:paraId="000000A4">
      <w:pPr>
        <w:spacing w:after="240" w:before="240" w:lineRule="auto"/>
        <w:ind w:left="0" w:firstLine="0"/>
        <w:rPr/>
      </w:pPr>
      <w:r w:rsidDel="00000000" w:rsidR="00000000" w:rsidRPr="00000000">
        <w:rPr>
          <w:rtl w:val="0"/>
        </w:rPr>
      </w:r>
    </w:p>
    <w:p w:rsidR="00000000" w:rsidDel="00000000" w:rsidP="00000000" w:rsidRDefault="00000000" w:rsidRPr="00000000" w14:paraId="000000A5">
      <w:pPr>
        <w:ind w:firstLine="720"/>
        <w:rPr/>
      </w:pPr>
      <w:r w:rsidDel="00000000" w:rsidR="00000000" w:rsidRPr="00000000">
        <w:rPr>
          <w:rtl w:val="0"/>
        </w:rPr>
        <w:t xml:space="preserve">The final active portfolio with the factor model mean estimate had lower volatility, a higher Sharpe ratio, and lower maximum drawdown than the equal weighted benchmark portfolio. The final model did not have the highest raw return; the equal-weight benchmark had slightly higher annualized return. But the final factor μ strategy achieved the best risk-adjusted performance. It reduced volatility meaningfully relative to the benchmark and improved max drawdown by almost nine percentage points. This is why the final Sharpe ratio improved to 0.564, exceeding both the strong historical shrinkage model and the equal-weight benchmark. The original 8-asset active strategy increased volatility and underperformed the benchmark, while the final 5-ETF factor μ strategy improved risk-adjusted performance by using the factor information more carefully.</w:t>
      </w:r>
    </w:p>
    <w:p w:rsidR="00000000" w:rsidDel="00000000" w:rsidP="00000000" w:rsidRDefault="00000000" w:rsidRPr="00000000" w14:paraId="000000A6">
      <w:pPr>
        <w:ind w:firstLine="720"/>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tbl>
      <w:tblPr>
        <w:tblStyle w:val="Table6"/>
        <w:tblW w:w="936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31.7729784028124"/>
        <w:gridCol w:w="1908.6690105474636"/>
        <w:gridCol w:w="2063.807132094425"/>
        <w:gridCol w:w="1372.737317930688"/>
        <w:gridCol w:w="1683.013561024611"/>
        <w:tblGridChange w:id="0">
          <w:tblGrid>
            <w:gridCol w:w="2331.7729784028124"/>
            <w:gridCol w:w="1908.6690105474636"/>
            <w:gridCol w:w="2063.807132094425"/>
            <w:gridCol w:w="1372.737317930688"/>
            <w:gridCol w:w="1683.013561024611"/>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jc w:val="center"/>
              <w:rPr/>
            </w:pPr>
            <w:r w:rsidDel="00000000" w:rsidR="00000000" w:rsidRPr="00000000">
              <w:rPr>
                <w:b w:val="1"/>
                <w:bCs w:val="1"/>
                <w:rtl w:val="0"/>
              </w:rPr>
              <w:t xml:space="preserve">Model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jc w:val="center"/>
              <w:rPr/>
            </w:pPr>
            <w:r w:rsidDel="00000000" w:rsidR="00000000" w:rsidRPr="00000000">
              <w:rPr>
                <w:b w:val="1"/>
                <w:bCs w:val="1"/>
                <w:rtl w:val="0"/>
              </w:rPr>
              <w:t xml:space="preserve">Annualized Return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jc w:val="center"/>
              <w:rPr/>
            </w:pPr>
            <w:r w:rsidDel="00000000" w:rsidR="00000000" w:rsidRPr="00000000">
              <w:rPr>
                <w:b w:val="1"/>
                <w:bCs w:val="1"/>
                <w:rtl w:val="0"/>
              </w:rPr>
              <w:t xml:space="preserve">Annualized Volatility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jc w:val="center"/>
              <w:rPr/>
            </w:pPr>
            <w:r w:rsidDel="00000000" w:rsidR="00000000" w:rsidRPr="00000000">
              <w:rPr>
                <w:b w:val="1"/>
                <w:bCs w:val="1"/>
                <w:rtl w:val="0"/>
              </w:rPr>
              <w:t xml:space="preserve">Sharpe Ratio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jc w:val="center"/>
              <w:rPr/>
            </w:pPr>
            <w:r w:rsidDel="00000000" w:rsidR="00000000" w:rsidRPr="00000000">
              <w:rPr>
                <w:b w:val="1"/>
                <w:bCs w:val="1"/>
                <w:rtl w:val="0"/>
              </w:rPr>
              <w:t xml:space="preserve">Max Drawdown</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Strong Shrink Historical 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12.18%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pPr>
            <w:r w:rsidDel="00000000" w:rsidR="00000000" w:rsidRPr="00000000">
              <w:rPr>
                <w:rtl w:val="0"/>
              </w:rPr>
              <w:t xml:space="preserve">22.93%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0.531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-47.26%</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t xml:space="preserve">Final Factor Model 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t xml:space="preserve">12.49%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pPr>
            <w:r w:rsidDel="00000000" w:rsidR="00000000" w:rsidRPr="00000000">
              <w:rPr>
                <w:rtl w:val="0"/>
              </w:rPr>
              <w:t xml:space="preserve">22.14%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0.564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-45.81%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Equal-Weight Benchmark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t xml:space="preserve">12.70%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25.53%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rtl w:val="0"/>
              </w:rPr>
              <w:t xml:space="preserve">0.498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-54.75%</w:t>
            </w:r>
          </w:p>
        </w:tc>
      </w:tr>
    </w:tbl>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ind w:firstLine="720"/>
        <w:rPr/>
      </w:pPr>
      <w:r w:rsidDel="00000000" w:rsidR="00000000" w:rsidRPr="00000000">
        <w:rPr>
          <w:rtl w:val="0"/>
        </w:rPr>
        <w:t xml:space="preserve">Rebalancing frequency had only a modest impact on results. Monthly rebalancing produced the highest Sharpe ratio (0.565), but quarterly (0.545) and semiannual (0.528) strategies performed similarly, indicating that performance gains were driven primarily by improved estimation rather than trading frequency.</w:t>
      </w:r>
    </w:p>
    <w:p w:rsidR="00000000" w:rsidDel="00000000" w:rsidP="00000000" w:rsidRDefault="00000000" w:rsidRPr="00000000" w14:paraId="000000BF">
      <w:pPr>
        <w:ind w:firstLine="720"/>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56.1770623742452"/>
        <w:gridCol w:w="1713.8028169014083"/>
        <w:gridCol w:w="1798.5513078470826"/>
        <w:gridCol w:w="1953.923541247485"/>
        <w:gridCol w:w="2137.5452716297787"/>
        <w:tblGridChange w:id="0">
          <w:tblGrid>
            <w:gridCol w:w="1756.1770623742452"/>
            <w:gridCol w:w="1713.8028169014083"/>
            <w:gridCol w:w="1798.5513078470826"/>
            <w:gridCol w:w="1953.923541247485"/>
            <w:gridCol w:w="2137.5452716297787"/>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jc w:val="center"/>
              <w:rPr/>
            </w:pPr>
            <w:r w:rsidDel="00000000" w:rsidR="00000000" w:rsidRPr="00000000">
              <w:rPr>
                <w:b w:val="1"/>
                <w:bCs w:val="1"/>
                <w:rtl w:val="0"/>
              </w:rPr>
              <w:t xml:space="preserve">Metric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jc w:val="center"/>
              <w:rPr/>
            </w:pPr>
            <w:r w:rsidDel="00000000" w:rsidR="00000000" w:rsidRPr="00000000">
              <w:rPr>
                <w:b w:val="1"/>
                <w:bCs w:val="1"/>
                <w:rtl w:val="0"/>
              </w:rPr>
              <w:t xml:space="preserve">Monthly Rebalance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jc w:val="center"/>
              <w:rPr/>
            </w:pPr>
            <w:r w:rsidDel="00000000" w:rsidR="00000000" w:rsidRPr="00000000">
              <w:rPr>
                <w:b w:val="1"/>
                <w:bCs w:val="1"/>
                <w:rtl w:val="0"/>
              </w:rPr>
              <w:t xml:space="preserve">Quarterly Rebalance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jc w:val="center"/>
              <w:rPr/>
            </w:pPr>
            <w:r w:rsidDel="00000000" w:rsidR="00000000" w:rsidRPr="00000000">
              <w:rPr>
                <w:b w:val="1"/>
                <w:bCs w:val="1"/>
                <w:rtl w:val="0"/>
              </w:rPr>
              <w:t xml:space="preserve">Semiannual Rebalance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jc w:val="center"/>
              <w:rPr/>
            </w:pPr>
            <w:r w:rsidDel="00000000" w:rsidR="00000000" w:rsidRPr="00000000">
              <w:rPr>
                <w:b w:val="1"/>
                <w:bCs w:val="1"/>
                <w:rtl w:val="0"/>
              </w:rPr>
              <w:t xml:space="preserve">Equal-Weight Benchmark</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rPr/>
            </w:pPr>
            <w:r w:rsidDel="00000000" w:rsidR="00000000" w:rsidRPr="00000000">
              <w:rPr>
                <w:rtl w:val="0"/>
              </w:rPr>
              <w:t xml:space="preserve">Annualized Return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rPr/>
            </w:pPr>
            <w:r w:rsidDel="00000000" w:rsidR="00000000" w:rsidRPr="00000000">
              <w:rPr>
                <w:b w:val="1"/>
                <w:bCs w:val="1"/>
                <w:rtl w:val="0"/>
              </w:rPr>
              <w:t xml:space="preserve">12.51%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rPr/>
            </w:pPr>
            <w:r w:rsidDel="00000000" w:rsidR="00000000" w:rsidRPr="00000000">
              <w:rPr>
                <w:rtl w:val="0"/>
              </w:rPr>
              <w:t xml:space="preserve">12.17%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tl w:val="0"/>
              </w:rPr>
              <w:t xml:space="preserve">11.82%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rPr/>
            </w:pPr>
            <w:r w:rsidDel="00000000" w:rsidR="00000000" w:rsidRPr="00000000">
              <w:rPr>
                <w:rtl w:val="0"/>
              </w:rPr>
              <w:t xml:space="preserve">12.72%</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Annualized Volatility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b w:val="1"/>
                <w:bCs w:val="1"/>
                <w:rtl w:val="0"/>
              </w:rPr>
              <w:t xml:space="preserve">22.15%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22.34%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22.39%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tl w:val="0"/>
              </w:rPr>
              <w:t xml:space="preserve">25.54%</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t xml:space="preserve">Sharpe Ratio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b w:val="1"/>
                <w:bCs w:val="1"/>
                <w:rtl w:val="0"/>
              </w:rPr>
              <w:t xml:space="preserve">0.565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t xml:space="preserve">0.545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rtl w:val="0"/>
              </w:rPr>
              <w:t xml:space="preserve">0.528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0.498</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rtl w:val="0"/>
              </w:rPr>
              <w:t xml:space="preserve">Max Drawdown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b w:val="1"/>
                <w:bCs w:val="1"/>
                <w:rtl w:val="0"/>
              </w:rPr>
              <w:t xml:space="preserve">-45.81%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t xml:space="preserve">-46.87%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t xml:space="preserve">-47.55%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t xml:space="preserve">-54.75%</w:t>
            </w:r>
          </w:p>
        </w:tc>
      </w:tr>
    </w:tbl>
    <w:p w:rsidR="00000000" w:rsidDel="00000000" w:rsidP="00000000" w:rsidRDefault="00000000" w:rsidRPr="00000000" w14:paraId="000000DA">
      <w:pPr>
        <w:ind w:left="0" w:firstLine="0"/>
        <w:rPr/>
      </w:pPr>
      <w:r w:rsidDel="00000000" w:rsidR="00000000" w:rsidRPr="00000000">
        <w:rPr>
          <w:rtl w:val="0"/>
        </w:rPr>
      </w:r>
    </w:p>
    <w:p w:rsidR="00000000" w:rsidDel="00000000" w:rsidP="00000000" w:rsidRDefault="00000000" w:rsidRPr="00000000" w14:paraId="000000DB">
      <w:pPr>
        <w:spacing w:after="240" w:before="240" w:lineRule="auto"/>
        <w:ind w:firstLine="720"/>
        <w:rPr/>
      </w:pPr>
      <w:r w:rsidDel="00000000" w:rsidR="00000000" w:rsidRPr="00000000">
        <w:rPr>
          <w:rFonts w:ascii="Arial Unicode MS" w:cs="Arial Unicode MS" w:eastAsia="Arial Unicode MS" w:hAnsi="Arial Unicode MS"/>
          <w:rtl w:val="0"/>
        </w:rPr>
        <w:t xml:space="preserve">The final Fama-French regression showed that both the strategy and benchmark were largely explained by common risk factors (R² ≈ 0.568 vs 0.556). Although the strategy exhibited slightly higher annualized alpha (1.92% vs 1.65%), the t-statistic (0.43) indicated that this was not statistically significant. Instead, the improved performance resulted from reduced market exposure (β ≈ 0.99 vs 1.07) and more efficient factor allocation, rather than true alpha generation.</w:t>
      </w:r>
    </w:p>
    <w:p w:rsidR="00000000" w:rsidDel="00000000" w:rsidP="00000000" w:rsidRDefault="00000000" w:rsidRPr="00000000" w14:paraId="000000DC">
      <w:pPr>
        <w:numPr>
          <w:ilvl w:val="0"/>
          <w:numId w:val="1"/>
        </w:numPr>
        <w:ind w:left="720" w:hanging="360"/>
        <w:rPr>
          <w:b w:val="1"/>
          <w:bCs w:val="1"/>
          <w:u w:val="none"/>
        </w:rPr>
      </w:pPr>
      <w:r w:rsidDel="00000000" w:rsidR="00000000" w:rsidRPr="00000000">
        <w:rPr>
          <w:b w:val="1"/>
          <w:bCs w:val="1"/>
          <w:rtl w:val="0"/>
        </w:rPr>
        <w:t xml:space="preserve">Backtesting</w:t>
      </w:r>
      <w:r w:rsidDel="00000000" w:rsidR="00000000" w:rsidRPr="00000000">
        <w:rPr>
          <w:rtl w:val="0"/>
        </w:rPr>
      </w:r>
    </w:p>
    <w:p w:rsidR="00000000" w:rsidDel="00000000" w:rsidP="00000000" w:rsidRDefault="00000000" w:rsidRPr="00000000" w14:paraId="000000DD">
      <w:pPr>
        <w:rPr>
          <w:color w:val="0000ff"/>
        </w:rPr>
      </w:pPr>
      <w:r w:rsidDel="00000000" w:rsidR="00000000" w:rsidRPr="00000000">
        <w:rPr>
          <w:rtl w:val="0"/>
        </w:rPr>
      </w:r>
    </w:p>
    <w:p w:rsidR="00000000" w:rsidDel="00000000" w:rsidP="00000000" w:rsidRDefault="00000000" w:rsidRPr="00000000" w14:paraId="000000DE">
      <w:pPr>
        <w:spacing w:after="200" w:lineRule="auto"/>
        <w:ind w:firstLine="720"/>
        <w:rPr/>
      </w:pPr>
      <w:r w:rsidDel="00000000" w:rsidR="00000000" w:rsidRPr="00000000">
        <w:rPr>
          <w:rtl w:val="0"/>
        </w:rPr>
        <w:t xml:space="preserve">The initial backtesting implementation used a basic rolling evaluation of portfolio performance. It followed a walk-forward format. Portfolio returns were computed using optimized weights. After observing instability in results, the backtesting framework was redefined to ensure that all model inputs were re-estimated at each rebalance step in a consistent manner. Expected returns were recomputed at every step, and covariance matrices were recomputed using the current training window to ensure that no stale parameters were reused across periods. This change ensured that portfolio decisions reflected updated information at each step. From there, we improved backtesting logic to ensure that portfolio weights were held constant between rebalance dates and re-optimization only occurred at the defined rebalance frequency. Intermediate returns were generated using the most recent valid weights. We made these changes to reduce noise in performance results caused by excessive turnover when new constraints and shrinkage were added to the model. </w:t>
      </w:r>
    </w:p>
    <w:p w:rsidR="00000000" w:rsidDel="00000000" w:rsidP="00000000" w:rsidRDefault="00000000" w:rsidRPr="00000000" w14:paraId="000000DF">
      <w:pPr>
        <w:spacing w:after="200" w:lineRule="auto"/>
        <w:ind w:firstLine="720"/>
        <w:rPr/>
      </w:pPr>
      <w:r w:rsidDel="00000000" w:rsidR="00000000" w:rsidRPr="00000000">
        <w:rPr>
          <w:rtl w:val="0"/>
        </w:rPr>
        <w:t xml:space="preserve">Additionally, we added an out-of-sample return series to make evaluation consistent across models. This included storing portfolio returns in a dedicated time series, separating estimation periods from evaluation periods, and ensuring that reported performance metrics were computed exclusively with out-of-sample return data rather than relying on rolling calculations. When evaluating whether the active portfolio truly added value, we refined the benchmark to ensure it was constructed using the same time index and data availability as the active portfolio, evaluated over the same out-of-sample window using the same return definitions. When we added the Fama French regression and incorporated the factor-based mean estimation, we refined the alignment of the time series inputs. We incorporated factor smoothing, mean combination, and shrinkage preprocessing to make sure we could use the same backtesting pipeline to compare earlier results. This included converting the datasets to a consistent frequency (month-end) and aligning ETF returns, factor data, and benchmark returns to a common monthly index. We did this to eliminate any mismatches between datasets, incorrect regression inputs, and inconsistent sample sizes across models. </w:t>
      </w:r>
    </w:p>
    <w:p w:rsidR="00000000" w:rsidDel="00000000" w:rsidP="00000000" w:rsidRDefault="00000000" w:rsidRPr="00000000" w14:paraId="000000E0">
      <w:pPr>
        <w:spacing w:after="200" w:lineRule="auto"/>
        <w:rPr/>
      </w:pPr>
      <w:r w:rsidDel="00000000" w:rsidR="00000000" w:rsidRPr="00000000">
        <w:rPr>
          <w:rtl w:val="0"/>
        </w:rPr>
      </w:r>
    </w:p>
    <w:p w:rsidR="00000000" w:rsidDel="00000000" w:rsidP="00000000" w:rsidRDefault="00000000" w:rsidRPr="00000000" w14:paraId="000000E1">
      <w:pPr>
        <w:numPr>
          <w:ilvl w:val="0"/>
          <w:numId w:val="1"/>
        </w:numPr>
        <w:spacing w:after="200" w:lineRule="auto"/>
        <w:ind w:left="720" w:hanging="360"/>
        <w:rPr>
          <w:b w:val="1"/>
          <w:bCs w:val="1"/>
          <w:u w:val="none"/>
        </w:rPr>
      </w:pPr>
      <w:r w:rsidDel="00000000" w:rsidR="00000000" w:rsidRPr="00000000">
        <w:rPr>
          <w:b w:val="1"/>
          <w:bCs w:val="1"/>
          <w:rtl w:val="0"/>
        </w:rPr>
        <w:t xml:space="preserve">Conclusion</w:t>
      </w:r>
    </w:p>
    <w:p w:rsidR="00000000" w:rsidDel="00000000" w:rsidP="00000000" w:rsidRDefault="00000000" w:rsidRPr="00000000" w14:paraId="000000E2">
      <w:pPr>
        <w:spacing w:after="200" w:lineRule="auto"/>
        <w:ind w:left="0" w:firstLine="0"/>
        <w:rPr>
          <w:b w:val="1"/>
          <w:bCs w:val="1"/>
        </w:rPr>
      </w:pPr>
      <w:r w:rsidDel="00000000" w:rsidR="00000000" w:rsidRPr="00000000">
        <w:rPr>
          <w:rtl w:val="0"/>
        </w:rPr>
      </w:r>
    </w:p>
    <w:p w:rsidR="00000000" w:rsidDel="00000000" w:rsidP="00000000" w:rsidRDefault="00000000" w:rsidRPr="00000000" w14:paraId="000000E3">
      <w:pPr>
        <w:spacing w:after="200" w:lineRule="auto"/>
        <w:ind w:left="0" w:firstLine="720"/>
        <w:rPr/>
      </w:pPr>
      <w:r w:rsidDel="00000000" w:rsidR="00000000" w:rsidRPr="00000000">
        <w:rPr>
          <w:rtl w:val="0"/>
        </w:rPr>
        <w:t xml:space="preserve">This project asked whether a factor-informed, constraint-based active portfolio could reduce downside risk in a clean-energy ETF portfolio while preserving reasonable returns. The answer is a qualified yes. The final five-ETF factor model achieved a Sharpe ratio of 0.564 versus the equal-weight benchmark's 0.498, reduced annualized volatility from 25.53% to 22.14%, and improved maximum drawdown by nearly nine percentage points. However, the Fama-French regression confirmed that these gains came from better risk management rather than true alpha generation. </w:t>
      </w:r>
    </w:p>
    <w:p w:rsidR="00000000" w:rsidDel="00000000" w:rsidP="00000000" w:rsidRDefault="00000000" w:rsidRPr="00000000" w14:paraId="000000E4">
      <w:pPr>
        <w:spacing w:after="200" w:lineRule="auto"/>
        <w:ind w:left="0" w:firstLine="720"/>
        <w:rPr/>
      </w:pPr>
      <w:r w:rsidDel="00000000" w:rsidR="00000000" w:rsidRPr="00000000">
        <w:rPr>
          <w:rtl w:val="0"/>
        </w:rPr>
        <w:t xml:space="preserve">The most important lesson from this project is that robust mean estimation matters more than covariance estimation in small ETF universes with limited return histories. Shrinking expected returns and incorporating factor-smoothed ensemble forecasts drove performance more than any structural change to the optimization framework. </w:t>
      </w:r>
    </w:p>
    <w:p w:rsidR="00000000" w:rsidDel="00000000" w:rsidP="00000000" w:rsidRDefault="00000000" w:rsidRPr="00000000" w14:paraId="000000E5">
      <w:pPr>
        <w:spacing w:after="200" w:lineRule="auto"/>
        <w:ind w:left="0" w:firstLine="720"/>
        <w:rPr/>
      </w:pPr>
      <w:r w:rsidDel="00000000" w:rsidR="00000000" w:rsidRPr="00000000">
        <w:rPr>
          <w:rtl w:val="0"/>
        </w:rPr>
        <w:t xml:space="preserve">The strategy is feasible to implement given its liquid, long-only universe and low rebalancing frequency. Future improvements could include expanding the ETF universe to hydrogen or nuclear energy funds, incorporating macroeconomic regime signals to make forecasts more adaptive, and explicitly modeling transaction costs within the optimization. As clean energy ETF return histories lengthen, the reliability of this approach will improve further.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color w:val="00000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