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480"/>
        <w:jc w:val="center"/>
      </w:pPr>
      <w:r>
        <w:rPr>
          <w:rFonts w:ascii="Times New Roman" w:cs="Times New Roman" w:eastAsia="Times New Roman" w:hAnsi="Times New Roman"/>
          <w:b/>
          <w:bCs/>
          <w:i w:val="false"/>
          <w:iCs w:val="false"/>
          <w:sz w:val="36"/>
          <w:szCs w:val="36"/>
        </w:rPr>
        <w:t xml:space="preserve">Adaptive Deep Hedging</w:t>
      </w:r>
    </w:p>
    <w:p>
      <w:pPr>
        <w:spacing w:after="80" w:before="0"/>
        <w:jc w:val="center"/>
      </w:pPr>
      <w:r>
        <w:rPr>
          <w:rFonts w:ascii="Times New Roman" w:cs="Times New Roman" w:eastAsia="Times New Roman" w:hAnsi="Times New Roman"/>
          <w:b w:val="false"/>
          <w:bCs w:val="false"/>
          <w:i/>
          <w:iCs/>
          <w:sz w:val="26"/>
          <w:szCs w:val="26"/>
        </w:rPr>
        <w:t xml:space="preserve">A Neural-Network Hedging Policy Trained End-to-End on Tail Risk</w:t>
      </w:r>
    </w:p>
    <w:p>
      <w:pPr>
        <w:spacing w:after="80" w:before="0"/>
        <w:jc w:val="center"/>
      </w:pPr>
      <w:r>
        <w:rPr>
          <w:rFonts w:ascii="Times New Roman" w:cs="Times New Roman" w:eastAsia="Times New Roman" w:hAnsi="Times New Roman"/>
          <w:b w:val="false"/>
          <w:bCs w:val="false"/>
          <w:i w:val="false"/>
          <w:iCs w:val="false"/>
          <w:sz w:val="22"/>
          <w:szCs w:val="22"/>
        </w:rPr>
        <w:t xml:space="preserve">MGMTMFE 413: Machine Learning for Asset Management</w:t>
      </w:r>
    </w:p>
    <w:p>
      <w:pPr>
        <w:spacing w:after="480" w:before="0"/>
        <w:jc w:val="center"/>
      </w:pPr>
      <w:r>
        <w:rPr>
          <w:rFonts w:ascii="Times New Roman" w:cs="Times New Roman" w:eastAsia="Times New Roman" w:hAnsi="Times New Roman"/>
          <w:b w:val="false"/>
          <w:bCs w:val="false"/>
          <w:i w:val="false"/>
          <w:iCs w:val="false"/>
          <w:sz w:val="22"/>
          <w:szCs w:val="22"/>
        </w:rPr>
        <w:t xml:space="preserve">UCLA Anderson School of Management  |  Spring 2026</w:t>
      </w:r>
    </w:p>
    <w:p>
      <w:pPr>
        <w:pStyle w:val="Heading1"/>
        <w:spacing w:after="120" w:before="300"/>
      </w:pPr>
      <w:r>
        <w:rPr>
          <w:rFonts w:ascii="Times New Roman" w:cs="Times New Roman" w:eastAsia="Times New Roman" w:hAnsi="Times New Roman"/>
          <w:b/>
          <w:bCs/>
          <w:sz w:val="28"/>
          <w:szCs w:val="28"/>
        </w:rPr>
        <w:t xml:space="preserve">1. Introduction</w:t>
      </w:r>
    </w:p>
    <w:p>
      <w:pPr>
        <w:spacing w:after="160" w:before="0"/>
        <w:jc w:val="left"/>
      </w:pPr>
      <w:r>
        <w:rPr>
          <w:rFonts w:ascii="Times New Roman" w:cs="Times New Roman" w:eastAsia="Times New Roman" w:hAnsi="Times New Roman"/>
          <w:b w:val="false"/>
          <w:bCs w:val="false"/>
          <w:i w:val="false"/>
          <w:iCs w:val="false"/>
          <w:sz w:val="24"/>
          <w:szCs w:val="24"/>
        </w:rPr>
        <w:t xml:space="preserve">Option hedging is one of the oldest and most studied problems in quantitative finance. The canonical answer, developed by Black and Scholes (1973) and Merton (1973), is elegant: hold a continuously rebalanced position in the underlying equal to the option's delta, and you replicate the payoff exactly. For fifty years this solution has anchored derivatives pricing and risk management. Its practical limitations, however, are just as well understood as its theoretical elegance.</w:t>
      </w:r>
    </w:p>
    <w:p>
      <w:pPr>
        <w:spacing w:after="160" w:before="0"/>
        <w:jc w:val="left"/>
      </w:pPr>
      <w:r>
        <w:rPr>
          <w:rFonts w:ascii="Times New Roman" w:cs="Times New Roman" w:eastAsia="Times New Roman" w:hAnsi="Times New Roman"/>
          <w:b w:val="false"/>
          <w:bCs w:val="false"/>
          <w:i w:val="false"/>
          <w:iCs w:val="false"/>
          <w:sz w:val="24"/>
          <w:szCs w:val="24"/>
        </w:rPr>
        <w:t xml:space="preserve">Real markets break every assumption the Black-Scholes framework depends on. Transaction costs make continuous rebalancing prohibitively expensive. Trading is inherently discrete, introducing hedging error between rebalancing dates. Volatility is stochastic, not constant, meaning the delta formula itself is misspecified. And for path-dependent instruments such as barrier options, the situation is worse: the Black-Scholes delta formula contains no information about the barrier at all. A delta hedger approaching a knock-out barrier keeps increasing its position even as the probability of the option expiring worthless rises sharply, incurring large transaction costs on a hedge that will shortly be irrelevant. In these settings, there is no closed-form optimal hedge. The textbook solution does not exist.</w:t>
      </w:r>
    </w:p>
    <w:p>
      <w:pPr>
        <w:spacing w:after="160" w:before="0"/>
        <w:jc w:val="left"/>
      </w:pPr>
      <w:r>
        <w:rPr>
          <w:rFonts w:ascii="Times New Roman" w:cs="Times New Roman" w:eastAsia="Times New Roman" w:hAnsi="Times New Roman"/>
          <w:b w:val="false"/>
          <w:bCs w:val="false"/>
          <w:i w:val="false"/>
          <w:iCs w:val="false"/>
          <w:sz w:val="24"/>
          <w:szCs w:val="24"/>
        </w:rPr>
        <w:t xml:space="preserve">This project investigates whether a neural network can learn a better one. We implement the Deep Hedging framework introduced by Buehler, Gonon, Teichmann, and Wood (2019), in which a feedforward neural network serves as the hedging policy itself. At each daily rebalancing step the network observes the current market state and outputs a new hedge position. The network is trained end-to-end by simulating batches of price paths, computing the resulting hedging profit and loss on each path, and minimizing the conditional value-at-risk (CVaR) of the loss distribution. The simulation is implemented in PyTorch so gradients propagate through every hedging decision back to the network weights.</w:t>
      </w:r>
    </w:p>
    <w:p>
      <w:pPr>
        <w:spacing w:after="160" w:before="0"/>
        <w:jc w:val="left"/>
      </w:pPr>
      <w:r>
        <w:rPr>
          <w:rFonts w:ascii="Times New Roman" w:cs="Times New Roman" w:eastAsia="Times New Roman" w:hAnsi="Times New Roman"/>
          <w:b w:val="false"/>
          <w:bCs w:val="false"/>
          <w:i w:val="false"/>
          <w:iCs w:val="false"/>
          <w:sz w:val="24"/>
          <w:szCs w:val="24"/>
        </w:rPr>
        <w:t xml:space="preserve">We study two instruments that stress-test hedging policies in complementary ways. The first is a vanilla European call, the textbook benchmark, where Black-Scholes delta is the theoretically optimal hedge at zero cost and the Whalley-Wilmott approximation provides the best classical method under transaction costs. Beating these baselines on the vanilla call is a necessary but not sufficient test of the framework. The second is an up-and-out barrier call option with barrier set 10% above the initial spot. Barrier options are a natural target for learned hedging policies precisely because path-dependence makes classical delta hedging structurally misspecified: the delta formula has no barrier term, so it generates the wrong hedge ratio near knock-out, and the discontinuity in the payoff creates costly position adjustments exactly when they are most expensive.</w:t>
      </w:r>
    </w:p>
    <w:p>
      <w:pPr>
        <w:spacing w:after="160" w:before="0"/>
        <w:jc w:val="left"/>
      </w:pPr>
      <w:r>
        <w:rPr>
          <w:rFonts w:ascii="Times New Roman" w:cs="Times New Roman" w:eastAsia="Times New Roman" w:hAnsi="Times New Roman"/>
          <w:b w:val="false"/>
          <w:bCs w:val="false"/>
          <w:i w:val="false"/>
          <w:iCs w:val="false"/>
          <w:sz w:val="24"/>
          <w:szCs w:val="24"/>
        </w:rPr>
        <w:t xml:space="preserve">We benchmark against three classical strategies: a no-hedge baseline, Black-Scholes delta hedging with daily rebalancing and realistic transaction costs, and the Whalley-Wilmott asymptotic approximation, which defines a no-trade band around the BS delta and only rebalances when the position drifts outside it. Beating Whalley-Wilmott on the vanilla call is the meaningful claim, since it already accounts for transaction costs. For the barrier option, even beating Black-Scholes delta represents a genuine contribution.</w:t>
      </w:r>
    </w:p>
    <w:p>
      <w:pPr>
        <w:spacing w:after="160" w:before="0"/>
        <w:jc w:val="left"/>
      </w:pPr>
      <w:r>
        <w:rPr>
          <w:rFonts w:ascii="Times New Roman" w:cs="Times New Roman" w:eastAsia="Times New Roman" w:hAnsi="Times New Roman"/>
          <w:b w:val="false"/>
          <w:bCs w:val="false"/>
          <w:i w:val="false"/>
          <w:iCs w:val="false"/>
          <w:sz w:val="24"/>
          <w:szCs w:val="24"/>
        </w:rPr>
        <w:t xml:space="preserve">The simulation environment is calibrated to real market data. We fit a GARCH(1,1)-t model to ten years of S&amp;P 500 daily returns, which yields an annualized volatility used to calibrate both a geometric Brownian motion simulator and a Heston stochastic volatility simulator. Training uses fresh batches of 2,048 simulated paths at each of 1,200 gradient steps; final evaluation is conducted on 20,000 held-out paths. Our primary metric is CVaR at the 95th percentile, the expected loss in the worst five percent of scenarios, chosen because the fat-tailed, negatively skewed distribution of real equity returns makes tail risk the appropriate objective for a hedger.</w:t>
      </w:r>
    </w:p>
    <w:p>
      <w:pPr>
        <w:spacing w:after="160" w:before="0"/>
        <w:jc w:val="left"/>
      </w:pPr>
      <w:r>
        <w:rPr>
          <w:rFonts w:ascii="Times New Roman" w:cs="Times New Roman" w:eastAsia="Times New Roman" w:hAnsi="Times New Roman"/>
          <w:b w:val="false"/>
          <w:bCs w:val="false"/>
          <w:i w:val="false"/>
          <w:iCs w:val="false"/>
          <w:sz w:val="24"/>
          <w:szCs w:val="24"/>
        </w:rPr>
        <w:t xml:space="preserve">Beyond the core comparison, we run six additional experiments: cost-regime generalization (trained at one cost, evaluated at others), a no-trade band scaling analysis, Heston stochastic volatility, barrier option hedging, a regime-aware training extension, and a drift-invariance test. The regime-aware extension is our primary original contribution: training across a distribution of volatility levels rather than a fixed one produces a network that survives crisis volatility far better than a standard deep hedger.</w:t>
      </w:r>
    </w:p>
    <w:p>
      <w:pPr>
        <w:spacing w:after="160" w:before="0"/>
        <w:jc w:val="left"/>
      </w:pPr>
      <w:r>
        <w:rPr>
          <w:rFonts w:ascii="Times New Roman" w:cs="Times New Roman" w:eastAsia="Times New Roman" w:hAnsi="Times New Roman"/>
          <w:b w:val="false"/>
          <w:bCs w:val="false"/>
          <w:i w:val="false"/>
          <w:iCs w:val="false"/>
          <w:sz w:val="24"/>
          <w:szCs w:val="24"/>
        </w:rPr>
        <w:t xml:space="preserve">The project connects to core topics from this course in several ways. The neural network is trained under a convex risk objective using stochastic gradient descent, which is central to the ML for optimization literature. Network depth selection follows held-out validation, regularization through weight decay and architecture choice is essential to avoid overfitting the simulator, and the GARCH calibration links the simulated world to real market data in a principled way.</w:t>
      </w:r>
    </w:p>
    <w:p>
      <w:pPr>
        <w:spacing w:after="160" w:before="0"/>
        <w:jc w:val="left"/>
      </w:pPr>
      <w:r>
        <w:rPr>
          <w:rFonts w:ascii="Times New Roman" w:cs="Times New Roman" w:eastAsia="Times New Roman" w:hAnsi="Times New Roman"/>
          <w:b w:val="false"/>
          <w:bCs w:val="false"/>
          <w:i w:val="false"/>
          <w:iCs w:val="false"/>
          <w:sz w:val="24"/>
          <w:szCs w:val="24"/>
        </w:rPr>
        <w:t xml:space="preserve">The remainder of this report is organized as follows. Section 2 reviews the relevant literature. Section 3 presents the mathematical formulation. Section 4 describes the methodology in detail. Section 5 presents results and discussion. Section 6 concludes.</w:t>
      </w:r>
    </w:p>
    <w:p>
      <w:pPr>
        <w:pStyle w:val="Heading1"/>
        <w:spacing w:after="120" w:before="300"/>
      </w:pPr>
      <w:r>
        <w:rPr>
          <w:rFonts w:ascii="Times New Roman" w:cs="Times New Roman" w:eastAsia="Times New Roman" w:hAnsi="Times New Roman"/>
          <w:b/>
          <w:bCs/>
          <w:sz w:val="28"/>
          <w:szCs w:val="28"/>
        </w:rPr>
        <w:t xml:space="preserve">2. Background and Related Work</w:t>
      </w:r>
    </w:p>
    <w:p>
      <w:pPr>
        <w:pStyle w:val="Heading2"/>
        <w:spacing w:after="100" w:before="240"/>
      </w:pPr>
      <w:r>
        <w:rPr>
          <w:rFonts w:ascii="Times New Roman" w:cs="Times New Roman" w:eastAsia="Times New Roman" w:hAnsi="Times New Roman"/>
          <w:b/>
          <w:bCs/>
          <w:sz w:val="24"/>
          <w:szCs w:val="24"/>
        </w:rPr>
        <w:t xml:space="preserve">2.1 Classical Hedging and Its Limitations</w:t>
      </w:r>
    </w:p>
    <w:p>
      <w:pPr>
        <w:spacing w:after="160" w:before="0"/>
        <w:jc w:val="left"/>
      </w:pPr>
      <w:r>
        <w:rPr>
          <w:rFonts w:ascii="Times New Roman" w:cs="Times New Roman" w:eastAsia="Times New Roman" w:hAnsi="Times New Roman"/>
          <w:b w:val="false"/>
          <w:bCs w:val="false"/>
          <w:i w:val="false"/>
          <w:iCs w:val="false"/>
          <w:sz w:val="24"/>
          <w:szCs w:val="24"/>
        </w:rPr>
        <w:t xml:space="preserve">The Black-Scholes-Merton framework provides a complete theory of derivative hedging under idealized conditions. Given a European option and an underlying following geometric Brownian motion, the replicating portfolio holds delta shares and rebalances continuously, achieving zero hedging error. The framework is analytically tractable and has remained the industry standard for delta hedging despite its known failures in practice.</w:t>
      </w:r>
    </w:p>
    <w:p>
      <w:pPr>
        <w:spacing w:after="160" w:before="0"/>
        <w:jc w:val="left"/>
      </w:pPr>
      <w:r>
        <w:rPr>
          <w:rFonts w:ascii="Times New Roman" w:cs="Times New Roman" w:eastAsia="Times New Roman" w:hAnsi="Times New Roman"/>
          <w:b w:val="false"/>
          <w:bCs w:val="false"/>
          <w:i w:val="false"/>
          <w:iCs w:val="false"/>
          <w:sz w:val="24"/>
          <w:szCs w:val="24"/>
        </w:rPr>
        <w:t xml:space="preserve">The practical failures are well documented. Leland (1985) was among the first to incorporate transaction costs into the hedging problem, showing that proportional costs fundamentally change the optimal strategy. Hodges and Neuberger (1989) formulated hedging under transaction costs as a stochastic control problem and showed that the optimal policy involves a no-trade region around the BS delta rather than continuous rebalancing. This line of work culminated in the Whalley-Wilmott (1997) asymptotic approximation, which provides a tractable closed-form description of the no-trade band and has become the standard classical benchmark for hedging under costs.</w:t>
      </w:r>
    </w:p>
    <w:p>
      <w:pPr>
        <w:spacing w:after="160" w:before="0"/>
        <w:jc w:val="left"/>
      </w:pPr>
      <w:r>
        <w:rPr>
          <w:rFonts w:ascii="Times New Roman" w:cs="Times New Roman" w:eastAsia="Times New Roman" w:hAnsi="Times New Roman"/>
          <w:b w:val="false"/>
          <w:bCs w:val="false"/>
          <w:i w:val="false"/>
          <w:iCs w:val="false"/>
          <w:sz w:val="24"/>
          <w:szCs w:val="24"/>
        </w:rPr>
        <w:t xml:space="preserve">For path-dependent instruments such as barrier options, the limitations of classical hedging are more severe. The Black-Scholes delta for a barrier option contains a discontinuity near the barrier: the delta spikes and then collapses as the underlying approaches knock-out, requiring large and costly position adjustments at precisely the moment when the option is most likely to expire worthless. Classical no-trade-band derivations do not extend cleanly to this setting. This is precisely where a learned policy has the most room to improve.</w:t>
      </w:r>
    </w:p>
    <w:p>
      <w:pPr>
        <w:pStyle w:val="Heading2"/>
        <w:spacing w:after="100" w:before="240"/>
      </w:pPr>
      <w:r>
        <w:rPr>
          <w:rFonts w:ascii="Times New Roman" w:cs="Times New Roman" w:eastAsia="Times New Roman" w:hAnsi="Times New Roman"/>
          <w:b/>
          <w:bCs/>
          <w:sz w:val="24"/>
          <w:szCs w:val="24"/>
        </w:rPr>
        <w:t xml:space="preserve">2.2 Deep Hedging</w:t>
      </w:r>
    </w:p>
    <w:p>
      <w:pPr>
        <w:spacing w:after="160" w:before="0"/>
        <w:jc w:val="left"/>
      </w:pPr>
      <w:r>
        <w:rPr>
          <w:rFonts w:ascii="Times New Roman" w:cs="Times New Roman" w:eastAsia="Times New Roman" w:hAnsi="Times New Roman"/>
          <w:b w:val="false"/>
          <w:bCs w:val="false"/>
          <w:i w:val="false"/>
          <w:iCs w:val="false"/>
          <w:sz w:val="24"/>
          <w:szCs w:val="24"/>
        </w:rPr>
        <w:t xml:space="preserve">Buehler, Gonon, Teichmann, and Wood (2019) introduced the deep hedging framework as a general approach to learning hedging policies directly from simulated data. The key insight is to parameterize the hedging strategy as a neural network and train it by minimizing a convex risk measure of the hedging P&amp;L over a large batch of simulated paths. Because the simulation is implemented as a differentiable computation graph, gradients flow end-to-end from the loss through every hedging decision back to the network weights. The framework is agnostic to the underlying asset model and the derivative being hedged.</w:t>
      </w:r>
    </w:p>
    <w:p>
      <w:pPr>
        <w:spacing w:after="160" w:before="0"/>
        <w:jc w:val="left"/>
      </w:pPr>
      <w:r>
        <w:rPr>
          <w:rFonts w:ascii="Times New Roman" w:cs="Times New Roman" w:eastAsia="Times New Roman" w:hAnsi="Times New Roman"/>
          <w:b w:val="false"/>
          <w:bCs w:val="false"/>
          <w:i w:val="false"/>
          <w:iCs w:val="false"/>
          <w:sz w:val="24"/>
          <w:szCs w:val="24"/>
        </w:rPr>
        <w:t xml:space="preserve">Subsequent work has extended the framework in several directions. Horvath, Teichmann, and Zuric (2021) apply deep hedging under rough volatility models. Carbonneau (2021) studies deep hedging for exotic options including barrier options and finds that the neural network policy substantially outperforms BS delta for path-dependent payoffs, directly supporting our Experiment 5. Our regime-aware training extension, which trains across a distribution of volatility levels rather than a fixed one, draws on the intuition from this literature that robustness to distributional shift requires training on a diverse set of environments.</w:t>
      </w:r>
    </w:p>
    <w:p>
      <w:pPr>
        <w:pStyle w:val="Heading2"/>
        <w:spacing w:after="100" w:before="240"/>
      </w:pPr>
      <w:r>
        <w:rPr>
          <w:rFonts w:ascii="Times New Roman" w:cs="Times New Roman" w:eastAsia="Times New Roman" w:hAnsi="Times New Roman"/>
          <w:b/>
          <w:bCs/>
          <w:sz w:val="24"/>
          <w:szCs w:val="24"/>
        </w:rPr>
        <w:t xml:space="preserve">2.3 CVaR as a Training Objective</w:t>
      </w:r>
    </w:p>
    <w:p>
      <w:pPr>
        <w:spacing w:after="160" w:before="0"/>
        <w:jc w:val="left"/>
      </w:pPr>
      <w:r>
        <w:rPr>
          <w:rFonts w:ascii="Times New Roman" w:cs="Times New Roman" w:eastAsia="Times New Roman" w:hAnsi="Times New Roman"/>
          <w:b w:val="false"/>
          <w:bCs w:val="false"/>
          <w:i w:val="false"/>
          <w:iCs w:val="false"/>
          <w:sz w:val="24"/>
          <w:szCs w:val="24"/>
        </w:rPr>
        <w:t xml:space="preserve">The choice of risk measure in the training objective matters. Mean squared hedging error places equal weight on gains and losses, which does not align with how practitioners think about hedging risk. CVaR at confidence level alpha, defined as the expected loss conditional on being in the worst (1-alpha) fraction of outcomes, is a coherent risk measure that directly captures tail behavior. Rockafellar and Uryasev (2000) showed that CVaR admits a variational representation that makes it differentiable and convex in the loss distribution, enabling gradient-based optimization. This formulation is central to our training procedure and is described in Section 3. The fat-tailed and negatively skewed return distribution of S&amp;P 500 equities, confirmed by our GARCH calibration, makes CVaR a particularly appropriate objective: it focuses precisely on the left-tail crash events that Normal-based models underestimate.</w:t>
      </w:r>
    </w:p>
    <w:p>
      <w:pPr>
        <w:pStyle w:val="Heading1"/>
        <w:spacing w:after="120" w:before="300"/>
      </w:pPr>
      <w:r>
        <w:rPr>
          <w:rFonts w:ascii="Times New Roman" w:cs="Times New Roman" w:eastAsia="Times New Roman" w:hAnsi="Times New Roman"/>
          <w:b/>
          <w:bCs/>
          <w:sz w:val="28"/>
          <w:szCs w:val="28"/>
        </w:rPr>
        <w:t xml:space="preserve">3. Problem Formulation</w:t>
      </w:r>
    </w:p>
    <w:p>
      <w:pPr>
        <w:pStyle w:val="Heading2"/>
        <w:spacing w:after="100" w:before="240"/>
      </w:pPr>
      <w:r>
        <w:rPr>
          <w:rFonts w:ascii="Times New Roman" w:cs="Times New Roman" w:eastAsia="Times New Roman" w:hAnsi="Times New Roman"/>
          <w:b/>
          <w:bCs/>
          <w:sz w:val="24"/>
          <w:szCs w:val="24"/>
        </w:rPr>
        <w:t xml:space="preserve">3.1 The Hedging Problem</w:t>
      </w:r>
    </w:p>
    <w:p>
      <w:pPr>
        <w:spacing w:after="160" w:before="0"/>
        <w:jc w:val="left"/>
      </w:pPr>
      <w:r>
        <w:rPr>
          <w:rFonts w:ascii="Times New Roman" w:cs="Times New Roman" w:eastAsia="Times New Roman" w:hAnsi="Times New Roman"/>
          <w:b w:val="false"/>
          <w:bCs w:val="false"/>
          <w:i w:val="false"/>
          <w:iCs w:val="false"/>
          <w:sz w:val="24"/>
          <w:szCs w:val="24"/>
        </w:rPr>
        <w:t xml:space="preserve">We consider the problem of a trader who has sold a derivative and must dynamically hedge the resulting exposure over the option's life. Let S0, S1, ..., Sn denote the underlying price at n discrete daily rebalancing times t0 &lt; t1 &lt; ... &lt; tn = T, where T is the option expiry. The trader holds a position pi_k in the underlying between times t_k and t_{k+1}. Trading from position pi_{k-1} to pi_k at time t_k incurs a proportional transaction cost c * |pi_k - pi_{k-1}| * S_k, where c is the cost rate.</w:t>
      </w:r>
    </w:p>
    <w:p>
      <w:pPr>
        <w:spacing w:after="160" w:before="0"/>
        <w:jc w:val="left"/>
      </w:pPr>
      <w:r>
        <w:rPr>
          <w:rFonts w:ascii="Times New Roman" w:cs="Times New Roman" w:eastAsia="Times New Roman" w:hAnsi="Times New Roman"/>
          <w:b w:val="false"/>
          <w:bCs w:val="false"/>
          <w:i w:val="false"/>
          <w:iCs w:val="false"/>
          <w:sz w:val="24"/>
          <w:szCs w:val="24"/>
        </w:rPr>
        <w:t xml:space="preserve">The terminal hedging P&amp;L on a single simulated path is:</w:t>
      </w:r>
    </w:p>
    <w:p>
      <w:pPr>
        <w:spacing w:after="80" w:before="80"/>
        <w:jc w:val="center"/>
      </w:pPr>
      <w:r>
        <w:rPr>
          <w:rFonts w:ascii="Times New Roman" w:cs="Times New Roman" w:eastAsia="Times New Roman" w:hAnsi="Times New Roman"/>
          <w:b w:val="false"/>
          <w:bCs w:val="false"/>
          <w:i/>
          <w:iCs/>
          <w:sz w:val="24"/>
          <w:szCs w:val="24"/>
        </w:rPr>
        <w:t xml:space="preserve">P&amp;L = h(S) + sum_k pi_{k-1}(S_k - S_{k-1}) - sum_k c * |pi_k - pi_{k-1}| * S_k</w:t>
      </w:r>
    </w:p>
    <w:p>
      <w:pPr>
        <w:spacing w:after="160" w:before="0"/>
        <w:jc w:val="left"/>
      </w:pPr>
      <w:r>
        <w:rPr>
          <w:rFonts w:ascii="Times New Roman" w:cs="Times New Roman" w:eastAsia="Times New Roman" w:hAnsi="Times New Roman"/>
          <w:b w:val="false"/>
          <w:bCs w:val="false"/>
          <w:i w:val="false"/>
          <w:iCs w:val="false"/>
          <w:sz w:val="24"/>
          <w:szCs w:val="24"/>
        </w:rPr>
        <w:t xml:space="preserve">where h(S) represents the option payoff received (net of premium) at expiry. We report P&amp;L net of the option premium, so the figures represent the net cost of hedging; a less negative value is a better outcome. We define loss as L = -P&amp;L and seek to minimize the risk of L over the distribution of simulated paths.</w:t>
      </w:r>
    </w:p>
    <w:p>
      <w:pPr>
        <w:spacing w:after="160" w:before="0"/>
        <w:jc w:val="left"/>
      </w:pPr>
      <w:r>
        <w:rPr>
          <w:rFonts w:ascii="Times New Roman" w:cs="Times New Roman" w:eastAsia="Times New Roman" w:hAnsi="Times New Roman"/>
          <w:b w:val="false"/>
          <w:bCs w:val="false"/>
          <w:i w:val="false"/>
          <w:iCs w:val="false"/>
          <w:sz w:val="24"/>
          <w:szCs w:val="24"/>
        </w:rPr>
        <w:t xml:space="preserve">We study two instruments. For the vanilla European call with strike K, the payoff is max(S_T - K, 0). For the up-and-out barrier call with strike K and barrier B, the payoff is max(S_T - K, 0) if the path never touches B, and zero otherwise. In our experiments K = 100, B = 110 (10% out-of-the-money barrier), T = 30 trading days, and daily rebalancing gives n = 30 steps.</w:t>
      </w:r>
    </w:p>
    <w:p>
      <w:pPr>
        <w:pStyle w:val="Heading2"/>
        <w:spacing w:after="100" w:before="240"/>
      </w:pPr>
      <w:r>
        <w:rPr>
          <w:rFonts w:ascii="Times New Roman" w:cs="Times New Roman" w:eastAsia="Times New Roman" w:hAnsi="Times New Roman"/>
          <w:b/>
          <w:bCs/>
          <w:sz w:val="24"/>
          <w:szCs w:val="24"/>
        </w:rPr>
        <w:t xml:space="preserve">3.2 The CVaR Objective and Its Differentiable Formulation</w:t>
      </w:r>
    </w:p>
    <w:p>
      <w:pPr>
        <w:spacing w:after="160" w:before="0"/>
        <w:jc w:val="left"/>
      </w:pPr>
      <w:r>
        <w:rPr>
          <w:rFonts w:ascii="Times New Roman" w:cs="Times New Roman" w:eastAsia="Times New Roman" w:hAnsi="Times New Roman"/>
          <w:b w:val="false"/>
          <w:bCs w:val="false"/>
          <w:i w:val="false"/>
          <w:iCs w:val="false"/>
          <w:sz w:val="24"/>
          <w:szCs w:val="24"/>
        </w:rPr>
        <w:t xml:space="preserve">We minimize the conditional value-at-risk of the loss at confidence level alpha = 0.95:</w:t>
      </w:r>
    </w:p>
    <w:p>
      <w:pPr>
        <w:spacing w:after="80" w:before="80"/>
        <w:jc w:val="center"/>
      </w:pPr>
      <w:r>
        <w:rPr>
          <w:rFonts w:ascii="Times New Roman" w:cs="Times New Roman" w:eastAsia="Times New Roman" w:hAnsi="Times New Roman"/>
          <w:b w:val="false"/>
          <w:bCs w:val="false"/>
          <w:i/>
          <w:iCs/>
          <w:sz w:val="24"/>
          <w:szCs w:val="24"/>
        </w:rPr>
        <w:t xml:space="preserve">CVaR_alpha(L) = E[L | L &gt;= VaR_alpha(L)]</w:t>
      </w:r>
    </w:p>
    <w:p>
      <w:pPr>
        <w:spacing w:after="160" w:before="0"/>
        <w:jc w:val="left"/>
      </w:pPr>
      <w:r>
        <w:rPr>
          <w:rFonts w:ascii="Times New Roman" w:cs="Times New Roman" w:eastAsia="Times New Roman" w:hAnsi="Times New Roman"/>
          <w:b w:val="false"/>
          <w:bCs w:val="false"/>
          <w:i w:val="false"/>
          <w:iCs w:val="false"/>
          <w:sz w:val="24"/>
          <w:szCs w:val="24"/>
        </w:rPr>
        <w:t xml:space="preserve">Naive computation of CVaR involves a quantile operation that is not differentiable. We use the Rockafellar-Uryasev (2000) variational representation:</w:t>
      </w:r>
    </w:p>
    <w:p>
      <w:pPr>
        <w:spacing w:after="80" w:before="80"/>
        <w:jc w:val="center"/>
      </w:pPr>
      <w:r>
        <w:rPr>
          <w:rFonts w:ascii="Times New Roman" w:cs="Times New Roman" w:eastAsia="Times New Roman" w:hAnsi="Times New Roman"/>
          <w:b w:val="false"/>
          <w:bCs w:val="false"/>
          <w:i/>
          <w:iCs/>
          <w:sz w:val="24"/>
          <w:szCs w:val="24"/>
        </w:rPr>
        <w:t xml:space="preserve">CVaR_alpha(L) = min_v { v + (1/(1-alpha)) * E[max(L - v, 0)] }</w:t>
      </w:r>
    </w:p>
    <w:p>
      <w:pPr>
        <w:spacing w:after="160" w:before="0"/>
        <w:jc w:val="left"/>
      </w:pPr>
      <w:r>
        <w:rPr>
          <w:rFonts w:ascii="Times New Roman" w:cs="Times New Roman" w:eastAsia="Times New Roman" w:hAnsi="Times New Roman"/>
          <w:b w:val="false"/>
          <w:bCs w:val="false"/>
          <w:i w:val="false"/>
          <w:iCs w:val="false"/>
          <w:sz w:val="24"/>
          <w:szCs w:val="24"/>
        </w:rPr>
        <w:t xml:space="preserve">This is convex and differentiable in both the hedging policy parameters theta and the auxiliary scalar v, which we treat as a learnable parameter alongside the network weights. We jointly optimize both via Adam. At convergence, the optimal v equals the VaR at level alpha, providing a useful diagnostic. The sanity check on the standard normal distribution confirms our implementation: empirical CVaR = 2.064 vs. the analytical value of 2.063.</w:t>
      </w:r>
    </w:p>
    <w:p>
      <w:pPr>
        <w:pStyle w:val="Heading1"/>
        <w:spacing w:after="120" w:before="300"/>
      </w:pPr>
      <w:r>
        <w:rPr>
          <w:rFonts w:ascii="Times New Roman" w:cs="Times New Roman" w:eastAsia="Times New Roman" w:hAnsi="Times New Roman"/>
          <w:b/>
          <w:bCs/>
          <w:sz w:val="28"/>
          <w:szCs w:val="28"/>
        </w:rPr>
        <w:t xml:space="preserve">4. Methodology</w:t>
      </w:r>
    </w:p>
    <w:p>
      <w:pPr>
        <w:pStyle w:val="Heading2"/>
        <w:spacing w:after="100" w:before="240"/>
      </w:pPr>
      <w:r>
        <w:rPr>
          <w:rFonts w:ascii="Times New Roman" w:cs="Times New Roman" w:eastAsia="Times New Roman" w:hAnsi="Times New Roman"/>
          <w:b/>
          <w:bCs/>
          <w:sz w:val="24"/>
          <w:szCs w:val="24"/>
        </w:rPr>
        <w:t xml:space="preserve">4.1 Data and Calibration</w:t>
      </w:r>
    </w:p>
    <w:p>
      <w:pPr>
        <w:spacing w:after="160" w:before="0"/>
        <w:jc w:val="left"/>
      </w:pPr>
      <w:r>
        <w:rPr>
          <w:rFonts w:ascii="Times New Roman" w:cs="Times New Roman" w:eastAsia="Times New Roman" w:hAnsi="Times New Roman"/>
          <w:b w:val="false"/>
          <w:bCs w:val="false"/>
          <w:i w:val="false"/>
          <w:iCs w:val="false"/>
          <w:sz w:val="24"/>
          <w:szCs w:val="24"/>
        </w:rPr>
        <w:t xml:space="preserve">We download ten years of S&amp;P 500 daily closes via yfinance and fit a GARCH(1,1) model with Student-t innovations to the log-return series using the arch library. The fitted parameters reveal persistence alpha + beta = 0.999, confirming near-integrated variance dynamics with a shock half-life of approximately 690 trading days. The Student-t degree-of-freedom parameter nu captures the fat tails that motivate CVaR as our training objective. Because alpha + beta is so close to 1, the unconditional variance formula omega / (1 - alpha - beta) is numerically explosive. We therefore use the sample realized volatility as the simulator input: sigma = 18.11% annualized. The 3-month T-bill rate r = 4% is taken from FRED. Transaction cost c is varied across experiments from 0.05% to 2%.</w:t>
      </w:r>
    </w:p>
    <w:p>
      <w:pPr>
        <w:spacing w:after="160" w:before="0"/>
        <w:jc w:val="left"/>
      </w:pPr>
      <w:r>
        <w:rPr>
          <w:rFonts w:ascii="Times New Roman" w:cs="Times New Roman" w:eastAsia="Times New Roman" w:hAnsi="Times New Roman"/>
          <w:b w:val="false"/>
          <w:bCs w:val="false"/>
          <w:i w:val="false"/>
          <w:iCs w:val="false"/>
          <w:sz w:val="24"/>
          <w:szCs w:val="24"/>
        </w:rPr>
        <w:t xml:space="preserve">A simulator validation step confirms that the calibrated GBM reproduces the 30-day return volatility of the real S&amp;P 500 within one standard error of estimation. Skewness and kurtosis gaps between GBM and real returns are expected and motivate the Heston extension in Experiment 4.</w:t>
      </w:r>
    </w:p>
    <w:p>
      <w:pPr>
        <w:pStyle w:val="Heading2"/>
        <w:spacing w:after="100" w:before="240"/>
      </w:pPr>
      <w:r>
        <w:rPr>
          <w:rFonts w:ascii="Times New Roman" w:cs="Times New Roman" w:eastAsia="Times New Roman" w:hAnsi="Times New Roman"/>
          <w:b/>
          <w:bCs/>
          <w:sz w:val="24"/>
          <w:szCs w:val="24"/>
        </w:rPr>
        <w:t xml:space="preserve">4.2 Price Simulators</w:t>
      </w:r>
    </w:p>
    <w:p>
      <w:pPr>
        <w:spacing w:after="160" w:before="0"/>
        <w:jc w:val="left"/>
      </w:pPr>
      <w:r>
        <w:rPr>
          <w:rFonts w:ascii="Times New Roman" w:cs="Times New Roman" w:eastAsia="Times New Roman" w:hAnsi="Times New Roman"/>
          <w:b w:val="false"/>
          <w:bCs w:val="false"/>
          <w:i w:val="false"/>
          <w:iCs w:val="false"/>
          <w:sz w:val="24"/>
          <w:szCs w:val="24"/>
        </w:rPr>
        <w:t xml:space="preserve">We implement two simulators entirely in PyTorch so that gradients propagate through the full price path to the network weights during training.</w:t>
      </w:r>
    </w:p>
    <w:p>
      <w:pPr>
        <w:spacing w:after="160" w:before="0"/>
        <w:jc w:val="left"/>
      </w:pPr>
      <w:r>
        <w:rPr>
          <w:rFonts w:ascii="Times New Roman" w:cs="Times New Roman" w:eastAsia="Times New Roman" w:hAnsi="Times New Roman"/>
          <w:b w:val="false"/>
          <w:bCs w:val="false"/>
          <w:i w:val="false"/>
          <w:iCs w:val="false"/>
          <w:sz w:val="24"/>
          <w:szCs w:val="24"/>
        </w:rPr>
        <w:t xml:space="preserve">GBM uses the exact log-Euler scheme: S_{k+1} = S_k * exp((mu - 0.5*sigma^2)*dt + sigma*sqrt(dt)*Z_k), with Z_k iid N(0,1). This produces a complete market where Black-Scholes delta is the variance-minimizing hedge at zero cost, making it the correctness benchmark for the pipeline.</w:t>
      </w:r>
    </w:p>
    <w:p>
      <w:pPr>
        <w:spacing w:after="160" w:before="0"/>
        <w:jc w:val="left"/>
      </w:pPr>
      <w:r>
        <w:rPr>
          <w:rFonts w:ascii="Times New Roman" w:cs="Times New Roman" w:eastAsia="Times New Roman" w:hAnsi="Times New Roman"/>
          <w:b w:val="false"/>
          <w:bCs w:val="false"/>
          <w:i w:val="false"/>
          <w:iCs w:val="false"/>
          <w:sz w:val="24"/>
          <w:szCs w:val="24"/>
        </w:rPr>
        <w:t xml:space="preserve">Heston uses full-truncation Euler-Maruyama with parameters set to representative literature values for equity-index dynamics (kappa = 2.0, theta = 0.04, xi = 0.4, rho = -0.7, v0 = 0.04), consistent with Bakshi, Cao, and Chen (1997). The negative correlation rho between spot and variance captures the leverage effect. Heston produces an incomplete market where no analytical optimal hedge exists even at zero cost.</w:t>
      </w:r>
    </w:p>
    <w:p>
      <w:pPr>
        <w:pStyle w:val="Heading2"/>
        <w:spacing w:after="100" w:before="240"/>
      </w:pPr>
      <w:r>
        <w:rPr>
          <w:rFonts w:ascii="Times New Roman" w:cs="Times New Roman" w:eastAsia="Times New Roman" w:hAnsi="Times New Roman"/>
          <w:b/>
          <w:bCs/>
          <w:sz w:val="24"/>
          <w:szCs w:val="24"/>
        </w:rPr>
        <w:t xml:space="preserve">4.3 Network Architecture and Depth Selection</w:t>
      </w:r>
    </w:p>
    <w:p>
      <w:pPr>
        <w:spacing w:after="160" w:before="0"/>
        <w:jc w:val="left"/>
      </w:pPr>
      <w:r>
        <w:rPr>
          <w:rFonts w:ascii="Times New Roman" w:cs="Times New Roman" w:eastAsia="Times New Roman" w:hAnsi="Times New Roman"/>
          <w:b w:val="false"/>
          <w:bCs w:val="false"/>
          <w:i w:val="false"/>
          <w:iCs w:val="false"/>
          <w:sz w:val="24"/>
          <w:szCs w:val="24"/>
        </w:rPr>
        <w:t xml:space="preserve">The deep hedger is a feedforward MLP with four inputs (log-moneyness log(S/K), time-to-expiry T-t, current hedge position pi_{k-1}, and instantaneous volatility sigma_t), three hidden layers of 64 units each with ReLU activations, and a scalar output representing the new hedge position. The architecture has 13,249 parameters. The output layer is zero-initialized so training begins from a neutral policy and learns purely from CVaR feedback.</w:t>
      </w:r>
    </w:p>
    <w:p>
      <w:pPr>
        <w:spacing w:after="160" w:before="0"/>
        <w:jc w:val="left"/>
      </w:pPr>
      <w:r>
        <w:rPr>
          <w:rFonts w:ascii="Times New Roman" w:cs="Times New Roman" w:eastAsia="Times New Roman" w:hAnsi="Times New Roman"/>
          <w:b w:val="false"/>
          <w:bCs w:val="false"/>
          <w:i w:val="false"/>
          <w:iCs w:val="false"/>
          <w:sz w:val="24"/>
          <w:szCs w:val="24"/>
        </w:rPr>
        <w:t xml:space="preserve">The volatility input feature is the key design choice that differentiates our network from a simpler version. By observing the current volatility, the network can widen its no-trade band during high-vol regimes, which is precisely the behavior the regime-aware extension exploits.</w:t>
      </w:r>
    </w:p>
    <w:p>
      <w:pPr>
        <w:spacing w:after="160" w:before="0"/>
        <w:jc w:val="left"/>
      </w:pPr>
      <w:r>
        <w:rPr>
          <w:rFonts w:ascii="Times New Roman" w:cs="Times New Roman" w:eastAsia="Times New Roman" w:hAnsi="Times New Roman"/>
          <w:b w:val="false"/>
          <w:bCs w:val="false"/>
          <w:i w:val="false"/>
          <w:iCs w:val="false"/>
          <w:sz w:val="24"/>
          <w:szCs w:val="24"/>
        </w:rPr>
        <w:t xml:space="preserve">Network depth was selected by held-out validation on 5,000 paths never used during training. We evaluated depths 1 through 4 and found that 3 hidden layers achieved the lowest held-out CVaR. This depth is fixed for all subsequent experiments.</w:t>
      </w:r>
    </w:p>
    <w:p>
      <w:pPr>
        <w:pStyle w:val="Heading2"/>
        <w:spacing w:after="100" w:before="240"/>
      </w:pPr>
      <w:r>
        <w:rPr>
          <w:rFonts w:ascii="Times New Roman" w:cs="Times New Roman" w:eastAsia="Times New Roman" w:hAnsi="Times New Roman"/>
          <w:b/>
          <w:bCs/>
          <w:sz w:val="24"/>
          <w:szCs w:val="24"/>
        </w:rPr>
        <w:t xml:space="preserve">4.4 Training Procedure</w:t>
      </w:r>
    </w:p>
    <w:p>
      <w:pPr>
        <w:spacing w:after="160" w:before="0"/>
        <w:jc w:val="left"/>
      </w:pPr>
      <w:r>
        <w:rPr>
          <w:rFonts w:ascii="Times New Roman" w:cs="Times New Roman" w:eastAsia="Times New Roman" w:hAnsi="Times New Roman"/>
          <w:b w:val="false"/>
          <w:bCs w:val="false"/>
          <w:i w:val="false"/>
          <w:iCs w:val="false"/>
          <w:sz w:val="24"/>
          <w:szCs w:val="24"/>
        </w:rPr>
        <w:t xml:space="preserve">Training uses online minibatch stochastic gradient descent. At each of 1,200 training steps, a fresh batch of 2,048 paths is simulated (so no path is ever seen twice), the network is rolled out along all paths simultaneously, per-path P&amp;L is computed, and the CVaR loss is minimized via Adam with learning rate 1e-3 for network weights and 1e-2 for the auxiliary CVaR variable v. Weight decay of 1e-5 provides L2 regularization. This online training scheme prevents overfitting to any fixed set of paths.</w:t>
      </w:r>
    </w:p>
    <w:p>
      <w:pPr>
        <w:spacing w:after="160" w:before="0"/>
        <w:jc w:val="left"/>
      </w:pPr>
      <w:r>
        <w:rPr>
          <w:rFonts w:ascii="Times New Roman" w:cs="Times New Roman" w:eastAsia="Times New Roman" w:hAnsi="Times New Roman"/>
          <w:b w:val="false"/>
          <w:bCs w:val="false"/>
          <w:i w:val="false"/>
          <w:iCs w:val="false"/>
          <w:sz w:val="24"/>
          <w:szCs w:val="24"/>
        </w:rPr>
        <w:t xml:space="preserve">We verify pipeline correctness before any experiment: at zero transaction cost under GBM, the trained network should converge to Black-Scholes delta (the variance-minimizing hedge). The sanity check passes, with the network CVaR matching BS delta within the expected range.</w:t>
      </w:r>
    </w:p>
    <w:p>
      <w:pPr>
        <w:pStyle w:val="Heading2"/>
        <w:spacing w:after="100" w:before="240"/>
      </w:pPr>
      <w:r>
        <w:rPr>
          <w:rFonts w:ascii="Times New Roman" w:cs="Times New Roman" w:eastAsia="Times New Roman" w:hAnsi="Times New Roman"/>
          <w:b/>
          <w:bCs/>
          <w:sz w:val="24"/>
          <w:szCs w:val="24"/>
        </w:rPr>
        <w:t xml:space="preserve">4.5 Baselines</w:t>
      </w:r>
    </w:p>
    <w:p>
      <w:pPr>
        <w:spacing w:after="160" w:before="0"/>
        <w:jc w:val="left"/>
      </w:pPr>
      <w:r>
        <w:rPr>
          <w:rFonts w:ascii="Times New Roman" w:cs="Times New Roman" w:eastAsia="Times New Roman" w:hAnsi="Times New Roman"/>
          <w:b w:val="false"/>
          <w:bCs w:val="false"/>
          <w:i w:val="false"/>
          <w:iCs w:val="false"/>
          <w:sz w:val="24"/>
          <w:szCs w:val="24"/>
        </w:rPr>
        <w:t xml:space="preserve">We compare against three classical policies. The no-hedge baseline holds zero shares throughout, establishing the floor. Black-Scholes delta rebalances to N(d1) every day and pays full transaction costs, serving as the textbook benchmark. Whalley-Wilmott defines a no-trade band of half-width (3cS*gamma^2 / (2*lambda))^(1/3) around BS delta and only rebalances when the position drifts outside it, representing the strongest classical method under transaction costs. All three baselines are implemented in PyTorch and evaluated on the same held-out paths as the deep hedger, making paired statistical tests valid.</w:t>
      </w:r>
    </w:p>
    <w:p>
      <w:pPr>
        <w:pStyle w:val="Heading2"/>
        <w:spacing w:after="100" w:before="240"/>
      </w:pPr>
      <w:r>
        <w:rPr>
          <w:rFonts w:ascii="Times New Roman" w:cs="Times New Roman" w:eastAsia="Times New Roman" w:hAnsi="Times New Roman"/>
          <w:b/>
          <w:bCs/>
          <w:sz w:val="24"/>
          <w:szCs w:val="24"/>
        </w:rPr>
        <w:t xml:space="preserve">4.6 Evaluation</w:t>
      </w:r>
    </w:p>
    <w:p>
      <w:pPr>
        <w:spacing w:after="160" w:before="0"/>
        <w:jc w:val="left"/>
      </w:pPr>
      <w:r>
        <w:rPr>
          <w:rFonts w:ascii="Times New Roman" w:cs="Times New Roman" w:eastAsia="Times New Roman" w:hAnsi="Times New Roman"/>
          <w:b w:val="false"/>
          <w:bCs w:val="false"/>
          <w:i w:val="false"/>
          <w:iCs w:val="false"/>
          <w:sz w:val="24"/>
          <w:szCs w:val="24"/>
        </w:rPr>
        <w:t xml:space="preserve">All methods are evaluated on 20,000 held-out simulated paths (never used in training). We report mean P&amp;L, standard deviation of P&amp;L, CVaR at the 95th percentile, and turnover (average total shares traded per path). Statistical significance of CVaR improvements is assessed via paired tail tests on the same paths, eliminating path-sampling noise. Bootstrap confidence intervals (500 replications) provide uncertainty bounds on CVaR estimates.</w:t>
      </w:r>
    </w:p>
    <w:p>
      <w:pPr>
        <w:pStyle w:val="Heading1"/>
        <w:spacing w:after="120" w:before="300"/>
      </w:pPr>
      <w:r>
        <w:rPr>
          <w:rFonts w:ascii="Times New Roman" w:cs="Times New Roman" w:eastAsia="Times New Roman" w:hAnsi="Times New Roman"/>
          <w:b/>
          <w:bCs/>
          <w:sz w:val="28"/>
          <w:szCs w:val="28"/>
        </w:rPr>
        <w:t xml:space="preserve">5. Results and Discussion</w:t>
      </w:r>
    </w:p>
    <w:p>
      <w:pPr>
        <w:pStyle w:val="Heading2"/>
        <w:spacing w:after="100" w:before="240"/>
      </w:pPr>
      <w:r>
        <w:rPr>
          <w:rFonts w:ascii="Times New Roman" w:cs="Times New Roman" w:eastAsia="Times New Roman" w:hAnsi="Times New Roman"/>
          <w:b/>
          <w:bCs/>
          <w:sz w:val="24"/>
          <w:szCs w:val="24"/>
        </w:rPr>
        <w:t xml:space="preserve">5.1 Experiment 1: Vanilla Call, c = 0.5%, GBM</w:t>
      </w:r>
    </w:p>
    <w:p>
      <w:pPr>
        <w:spacing w:after="160" w:before="0"/>
        <w:jc w:val="left"/>
      </w:pPr>
      <w:r>
        <w:rPr>
          <w:rFonts w:ascii="Times New Roman" w:cs="Times New Roman" w:eastAsia="Times New Roman" w:hAnsi="Times New Roman"/>
          <w:b w:val="false"/>
          <w:bCs w:val="false"/>
          <w:i w:val="false"/>
          <w:iCs w:val="false"/>
          <w:sz w:val="24"/>
          <w:szCs w:val="24"/>
        </w:rPr>
        <w:t xml:space="preserve">Table 1 shows the headline results for the vanilla European call under GBM with 0.5% proportional transaction costs.</w:t>
      </w:r>
    </w:p>
    <w:p>
      <w:pPr>
        <w:spacing w:after="160" w:before="0"/>
        <w:jc w:val="left"/>
      </w:pPr>
      <w:r>
        <w:rPr>
          <w:rFonts w:ascii="Times New Roman" w:cs="Times New Roman" w:eastAsia="Times New Roman" w:hAnsi="Times New Roman"/>
          <w:b w:val="false"/>
          <w:bCs w:val="false"/>
          <w:i w:val="false"/>
          <w:iCs w:val="false"/>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1800"/>
        <w:gridCol w:w="1400"/>
        <w:gridCol w:w="1400"/>
        <w:gridCol w:w="1560"/>
      </w:tblGrid>
      <w:tr>
        <w:tc>
          <w:tcPr>
            <w:tcW w:type="dxa" w:w="2200"/>
            <w:tcBorders>
              <w:top w:val="single" w:color="2E75B6" w:sz="4"/>
              <w:left w:val="single" w:color="2E75B6" w:sz="4"/>
              <w:bottom w:val="single" w:color="2E75B6" w:sz="4"/>
              <w:right w:val="single" w:color="2E75B6" w:sz="4"/>
            </w:tcBorders>
            <w:shd w:fill="D5E8F0" w:val="clear"/>
            <w:tcMar>
              <w:top w:type="dxa" w:w="80"/>
              <w:left w:type="dxa" w:w="120"/>
              <w:bottom w:type="dxa" w:w="80"/>
              <w:right w:type="dxa" w:w="120"/>
            </w:tcMar>
          </w:tcPr>
          <w:p>
            <w:r>
              <w:rPr>
                <w:rFonts w:ascii="Times New Roman" w:cs="Times New Roman" w:eastAsia="Times New Roman" w:hAnsi="Times New Roman"/>
                <w:b/>
                <w:bCs/>
                <w:sz w:val="20"/>
                <w:szCs w:val="20"/>
              </w:rPr>
              <w:t xml:space="preserve">Method</w:t>
            </w:r>
          </w:p>
        </w:tc>
        <w:tc>
          <w:tcPr>
            <w:tcW w:type="dxa" w:w="1800"/>
            <w:tcBorders>
              <w:top w:val="single" w:color="2E75B6" w:sz="4"/>
              <w:left w:val="single" w:color="2E75B6" w:sz="4"/>
              <w:bottom w:val="single" w:color="2E75B6" w:sz="4"/>
              <w:right w:val="single" w:color="2E75B6" w:sz="4"/>
            </w:tcBorders>
            <w:shd w:fill="D5E8F0" w:val="clear"/>
            <w:tcMar>
              <w:top w:type="dxa" w:w="80"/>
              <w:left w:type="dxa" w:w="120"/>
              <w:bottom w:type="dxa" w:w="80"/>
              <w:right w:type="dxa" w:w="120"/>
            </w:tcMar>
          </w:tcPr>
          <w:p>
            <w:r>
              <w:rPr>
                <w:rFonts w:ascii="Times New Roman" w:cs="Times New Roman" w:eastAsia="Times New Roman" w:hAnsi="Times New Roman"/>
                <w:b/>
                <w:bCs/>
                <w:sz w:val="20"/>
                <w:szCs w:val="20"/>
              </w:rPr>
              <w:t xml:space="preserve">Mean P&amp;L ($)</w:t>
            </w:r>
          </w:p>
        </w:tc>
        <w:tc>
          <w:tcPr>
            <w:tcW w:type="dxa" w:w="1400"/>
            <w:tcBorders>
              <w:top w:val="single" w:color="2E75B6" w:sz="4"/>
              <w:left w:val="single" w:color="2E75B6" w:sz="4"/>
              <w:bottom w:val="single" w:color="2E75B6" w:sz="4"/>
              <w:right w:val="single" w:color="2E75B6" w:sz="4"/>
            </w:tcBorders>
            <w:shd w:fill="D5E8F0" w:val="clear"/>
            <w:tcMar>
              <w:top w:type="dxa" w:w="80"/>
              <w:left w:type="dxa" w:w="120"/>
              <w:bottom w:type="dxa" w:w="80"/>
              <w:right w:type="dxa" w:w="120"/>
            </w:tcMar>
          </w:tcPr>
          <w:p>
            <w:r>
              <w:rPr>
                <w:rFonts w:ascii="Times New Roman" w:cs="Times New Roman" w:eastAsia="Times New Roman" w:hAnsi="Times New Roman"/>
                <w:b/>
                <w:bCs/>
                <w:sz w:val="20"/>
                <w:szCs w:val="20"/>
              </w:rPr>
              <w:t xml:space="preserve">Std P&amp;L</w:t>
            </w:r>
          </w:p>
        </w:tc>
        <w:tc>
          <w:tcPr>
            <w:tcW w:type="dxa" w:w="1400"/>
            <w:tcBorders>
              <w:top w:val="single" w:color="2E75B6" w:sz="4"/>
              <w:left w:val="single" w:color="2E75B6" w:sz="4"/>
              <w:bottom w:val="single" w:color="2E75B6" w:sz="4"/>
              <w:right w:val="single" w:color="2E75B6" w:sz="4"/>
            </w:tcBorders>
            <w:shd w:fill="D5E8F0" w:val="clear"/>
            <w:tcMar>
              <w:top w:type="dxa" w:w="80"/>
              <w:left w:type="dxa" w:w="120"/>
              <w:bottom w:type="dxa" w:w="80"/>
              <w:right w:type="dxa" w:w="120"/>
            </w:tcMar>
          </w:tcPr>
          <w:p>
            <w:r>
              <w:rPr>
                <w:rFonts w:ascii="Times New Roman" w:cs="Times New Roman" w:eastAsia="Times New Roman" w:hAnsi="Times New Roman"/>
                <w:b/>
                <w:bCs/>
                <w:sz w:val="20"/>
                <w:szCs w:val="20"/>
              </w:rPr>
              <w:t xml:space="preserve">CVaR95</w:t>
            </w:r>
          </w:p>
        </w:tc>
        <w:tc>
          <w:tcPr>
            <w:tcW w:type="dxa" w:w="1560"/>
            <w:tcBorders>
              <w:top w:val="single" w:color="2E75B6" w:sz="4"/>
              <w:left w:val="single" w:color="2E75B6" w:sz="4"/>
              <w:bottom w:val="single" w:color="2E75B6" w:sz="4"/>
              <w:right w:val="single" w:color="2E75B6" w:sz="4"/>
            </w:tcBorders>
            <w:shd w:fill="D5E8F0" w:val="clear"/>
            <w:tcMar>
              <w:top w:type="dxa" w:w="80"/>
              <w:left w:type="dxa" w:w="120"/>
              <w:bottom w:type="dxa" w:w="80"/>
              <w:right w:type="dxa" w:w="120"/>
            </w:tcMar>
          </w:tcPr>
          <w:p>
            <w:r>
              <w:rPr>
                <w:rFonts w:ascii="Times New Roman" w:cs="Times New Roman" w:eastAsia="Times New Roman" w:hAnsi="Times New Roman"/>
                <w:b/>
                <w:bCs/>
                <w:sz w:val="20"/>
                <w:szCs w:val="20"/>
              </w:rPr>
              <w:t xml:space="preserve">Turnover</w:t>
            </w:r>
          </w:p>
        </w:tc>
      </w:tr>
      <w:tr>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No hedge</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~0</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very high</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very negative</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0</w:t>
            </w:r>
          </w:p>
        </w:tc>
      </w:tr>
      <w:tr>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BS delta</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-4.147</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0.585</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+5.631</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1.711</w:t>
            </w:r>
          </w:p>
        </w:tc>
      </w:tr>
      <w:tr>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Whalley-Wilmott</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-3.569</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0.856</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+5.324</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0.563</w:t>
            </w:r>
          </w:p>
        </w:tc>
      </w:tr>
      <w:tr>
        <w:tc>
          <w:tcPr>
            <w:tcW w:type="dxa" w:w="22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Deep hedger</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-3.763</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0.679</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+4.966</w:t>
            </w:r>
          </w:p>
        </w:tc>
        <w:tc>
          <w:tcPr>
            <w:tcW w:type="dxa" w:w="15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20"/>
                <w:szCs w:val="20"/>
              </w:rPr>
              <w:t xml:space="preserve">0.975</w:t>
            </w:r>
          </w:p>
        </w:tc>
      </w:tr>
    </w:tbl>
    <w:p>
      <w:pPr>
        <w:spacing w:after="160" w:before="80"/>
        <w:jc w:val="left"/>
      </w:pPr>
      <w:r>
        <w:rPr>
          <w:rFonts w:ascii="Times New Roman" w:cs="Times New Roman" w:eastAsia="Times New Roman" w:hAnsi="Times New Roman"/>
          <w:b w:val="false"/>
          <w:bCs w:val="false"/>
          <w:i/>
          <w:iCs/>
          <w:sz w:val="20"/>
          <w:szCs w:val="20"/>
        </w:rPr>
        <w:t xml:space="preserve">Table 1: Experiment 1 results. CVaR95 is the primary metric; lower (less positive) is better. All four methods evaluated on 20,000 held-out paths.</w:t>
      </w:r>
    </w:p>
    <w:p>
      <w:pPr>
        <w:spacing w:after="160" w:before="0"/>
        <w:jc w:val="left"/>
      </w:pPr>
      <w:r>
        <w:rPr>
          <w:rFonts w:ascii="Times New Roman" w:cs="Times New Roman" w:eastAsia="Times New Roman" w:hAnsi="Times New Roman"/>
          <w:b w:val="false"/>
          <w:bCs w:val="false"/>
          <w:i w:val="false"/>
          <w:iCs w:val="false"/>
          <w:sz w:val="24"/>
          <w:szCs w:val="24"/>
        </w:rPr>
        <w:t xml:space="preserve">The deep hedger achieves CVaR95 of +4.966, compared to +5.631 for BS delta (an 11.8% improvement) and +5.324 for Whalley-Wilmott (a 6.7% improvement). Both improvements are statistically significant: DH vs. BS delta p = 1.19e-03; DH vs. Whalley-Wilmott p = 4.18e-02. Turnover is 0.975 for the deep hedger vs. 1.711 for BS delta, a 43% reduction in trading activity. The negative mean P&amp;L across all methods is correct: it represents the net cost of hedging after transaction costs; a less negative value is a better outcome.</w:t>
      </w:r>
    </w:p>
    <w:p>
      <w:pPr>
        <w:spacing w:after="160" w:before="0"/>
        <w:jc w:val="left"/>
      </w:pPr>
      <w:r>
        <w:rPr>
          <w:rFonts w:ascii="Times New Roman" w:cs="Times New Roman" w:eastAsia="Times New Roman" w:hAnsi="Times New Roman"/>
          <w:b w:val="false"/>
          <w:bCs w:val="false"/>
          <w:i w:val="false"/>
          <w:iCs w:val="false"/>
          <w:sz w:val="24"/>
          <w:szCs w:val="24"/>
        </w:rPr>
        <w:t xml:space="preserve">The P&amp;L distribution histogram shows the deep hedger with a visibly tighter left tail than both baselines, consistent with its CVaR objective. The Whalley-Wilmott distribution is more spread (higher std = 0.856) despite its lower CVaR than BS delta, reflecting its more aggressive no-trade band.</w:t>
      </w:r>
    </w:p>
    <w:p>
      <w:pPr>
        <w:pStyle w:val="Heading2"/>
        <w:spacing w:after="100" w:before="240"/>
      </w:pPr>
      <w:r>
        <w:rPr>
          <w:rFonts w:ascii="Times New Roman" w:cs="Times New Roman" w:eastAsia="Times New Roman" w:hAnsi="Times New Roman"/>
          <w:b/>
          <w:bCs/>
          <w:sz w:val="24"/>
          <w:szCs w:val="24"/>
        </w:rPr>
        <w:t xml:space="preserve">5.2 Experiment 2: Cost-Regime Generalization</w:t>
      </w:r>
    </w:p>
    <w:p>
      <w:pPr>
        <w:spacing w:after="160" w:before="0"/>
        <w:jc w:val="left"/>
      </w:pPr>
      <w:r>
        <w:rPr>
          <w:rFonts w:ascii="Times New Roman" w:cs="Times New Roman" w:eastAsia="Times New Roman" w:hAnsi="Times New Roman"/>
          <w:b w:val="false"/>
          <w:bCs w:val="false"/>
          <w:i w:val="false"/>
          <w:iCs w:val="false"/>
          <w:sz w:val="24"/>
          <w:szCs w:val="24"/>
        </w:rPr>
        <w:t xml:space="preserve">The network trained at c = 0.5% is evaluated at six cost levels from 0.05% to 2.0% without retraining. At cost levels at and above the training cost (c &gt;= 0.5%), the deep hedger matches or beats Whalley-Wilmott. At very low costs (c &lt; 0.1%), the deep hedger trails WW slightly, because the optimal policy approaches continuous rebalancing and the network's structural regularization limits exact matching. This is the expected behavior: a policy trained for a frictional market is not optimized for a near-frictionless one.</w:t>
      </w:r>
    </w:p>
    <w:p>
      <w:pPr>
        <w:pStyle w:val="Heading2"/>
        <w:spacing w:after="100" w:before="240"/>
      </w:pPr>
      <w:r>
        <w:rPr>
          <w:rFonts w:ascii="Times New Roman" w:cs="Times New Roman" w:eastAsia="Times New Roman" w:hAnsi="Times New Roman"/>
          <w:b/>
          <w:bCs/>
          <w:sz w:val="24"/>
          <w:szCs w:val="24"/>
        </w:rPr>
        <w:t xml:space="preserve">5.3 Experiment 3: No-Trade Band Scaling</w:t>
      </w:r>
    </w:p>
    <w:p>
      <w:pPr>
        <w:spacing w:after="160" w:before="0"/>
        <w:jc w:val="left"/>
      </w:pPr>
      <w:r>
        <w:rPr>
          <w:rFonts w:ascii="Times New Roman" w:cs="Times New Roman" w:eastAsia="Times New Roman" w:hAnsi="Times New Roman"/>
          <w:b w:val="false"/>
          <w:bCs w:val="false"/>
          <w:i w:val="false"/>
          <w:iCs w:val="false"/>
          <w:sz w:val="24"/>
          <w:szCs w:val="24"/>
        </w:rPr>
        <w:t xml:space="preserve">Whalley-Wilmott derives analytically that the optimal no-trade band half-width scales as (transaction cost)^(1/3). We probe the deep hedger's learned band at five cost levels. Both the learned band and the analytical band increase monotonically with cost, confirming that the network rediscovered the same qualitative relationship from CVaR feedback alone. The learned band is consistently narrower than the WW analytical prediction, reflecting the difference in objective: WW minimizes a mean-variance criterion while the deep hedger minimizes CVaR, a tail-focused measure that tolerates more small losses to avoid catastrophic ones. This is a genuine result, not a convergence failure.</w:t>
      </w:r>
    </w:p>
    <w:p>
      <w:pPr>
        <w:pStyle w:val="Heading2"/>
        <w:spacing w:after="100" w:before="240"/>
      </w:pPr>
      <w:r>
        <w:rPr>
          <w:rFonts w:ascii="Times New Roman" w:cs="Times New Roman" w:eastAsia="Times New Roman" w:hAnsi="Times New Roman"/>
          <w:b/>
          <w:bCs/>
          <w:sz w:val="24"/>
          <w:szCs w:val="24"/>
        </w:rPr>
        <w:t xml:space="preserve">5.4 Experiment 4: Heston Stochastic Volatility</w:t>
      </w:r>
    </w:p>
    <w:p>
      <w:pPr>
        <w:spacing w:after="160" w:before="0"/>
        <w:jc w:val="left"/>
      </w:pPr>
      <w:r>
        <w:rPr>
          <w:rFonts w:ascii="Times New Roman" w:cs="Times New Roman" w:eastAsia="Times New Roman" w:hAnsi="Times New Roman"/>
          <w:b w:val="false"/>
          <w:bCs w:val="false"/>
          <w:i w:val="false"/>
          <w:iCs w:val="false"/>
          <w:sz w:val="24"/>
          <w:szCs w:val="24"/>
        </w:rPr>
        <w:t xml:space="preserve">Under Heston dynamics, volatility is random and correlated with the underlying (rho = -0.7, the leverage effect). Classical baselines use the constant long-run volatility sqrt(theta) = 20% as their input, which is wrong whenever realized vol deviates from this level. The deep hedger observes the realized instantaneous volatility sigma_t at each step and adapts accordingly. The deep hedger achieves CVaR95 = +5.273 vs. +5.728 for Whalley-Wilmott (7.9% improvement) and +6.024 for BS delta. Part of the deep hedger's advantage reflects its information advantage: it reads realized vol while the baselines use a constant. This is noted explicitly as a design property, not a hidden bias.</w:t>
      </w:r>
    </w:p>
    <w:p>
      <w:pPr>
        <w:pStyle w:val="Heading2"/>
        <w:spacing w:after="100" w:before="240"/>
      </w:pPr>
      <w:r>
        <w:rPr>
          <w:rFonts w:ascii="Times New Roman" w:cs="Times New Roman" w:eastAsia="Times New Roman" w:hAnsi="Times New Roman"/>
          <w:b/>
          <w:bCs/>
          <w:sz w:val="24"/>
          <w:szCs w:val="24"/>
        </w:rPr>
        <w:t xml:space="preserve">5.5 Experiment 5: Up-and-Out Barrier Option</w:t>
      </w:r>
    </w:p>
    <w:p>
      <w:pPr>
        <w:spacing w:after="160" w:before="0"/>
        <w:jc w:val="left"/>
      </w:pPr>
      <w:r>
        <w:rPr>
          <w:rFonts w:ascii="Times New Roman" w:cs="Times New Roman" w:eastAsia="Times New Roman" w:hAnsi="Times New Roman"/>
          <w:b w:val="false"/>
          <w:bCs w:val="false"/>
          <w:i w:val="false"/>
          <w:iCs w:val="false"/>
          <w:sz w:val="24"/>
          <w:szCs w:val="24"/>
        </w:rPr>
        <w:t xml:space="preserve">The barrier option experiment is where the deep hedger's advantage over classical methods is largest. With barrier B = 110 (10% above spot), the knock-out probability under our calibrated GBM is approximately 13%. The deep hedger achieves CVaR95 = +4.099 vs. +5.281 for BS delta, a 22% improvement. Whalley-Wilmott sits between the two.</w:t>
      </w:r>
    </w:p>
    <w:p>
      <w:pPr>
        <w:spacing w:after="160" w:before="0"/>
        <w:jc w:val="left"/>
      </w:pPr>
      <w:r>
        <w:rPr>
          <w:rFonts w:ascii="Times New Roman" w:cs="Times New Roman" w:eastAsia="Times New Roman" w:hAnsi="Times New Roman"/>
          <w:b w:val="false"/>
          <w:bCs w:val="false"/>
          <w:i w:val="false"/>
          <w:iCs w:val="false"/>
          <w:sz w:val="24"/>
          <w:szCs w:val="24"/>
        </w:rPr>
        <w:t xml:space="preserve">The mechanism is intuitive: BS delta spikes discontinuously as the path approaches the barrier, requiring large and expensive position changes. The deep hedger learns to pre-position gradually, reducing its exposure as the underlying approaches the knock-out level and avoiding the costly delta spike. This smooth anticipatory behavior is visible in the policy heatmap: the network's hedge ratio begins declining well before the barrier, while the BS delta remains elevated until very close to knock-out.</w:t>
      </w:r>
    </w:p>
    <w:p>
      <w:pPr>
        <w:pStyle w:val="Heading2"/>
        <w:spacing w:after="100" w:before="240"/>
      </w:pPr>
      <w:r>
        <w:rPr>
          <w:rFonts w:ascii="Times New Roman" w:cs="Times New Roman" w:eastAsia="Times New Roman" w:hAnsi="Times New Roman"/>
          <w:b/>
          <w:bCs/>
          <w:sz w:val="24"/>
          <w:szCs w:val="24"/>
        </w:rPr>
        <w:t xml:space="preserve">5.6 Experiment 6: Regime-Aware Training (Original Contribution)</w:t>
      </w:r>
    </w:p>
    <w:p>
      <w:pPr>
        <w:spacing w:after="160" w:before="0"/>
        <w:jc w:val="left"/>
      </w:pPr>
      <w:r>
        <w:rPr>
          <w:rFonts w:ascii="Times New Roman" w:cs="Times New Roman" w:eastAsia="Times New Roman" w:hAnsi="Times New Roman"/>
          <w:b w:val="false"/>
          <w:bCs w:val="false"/>
          <w:i w:val="false"/>
          <w:iCs w:val="false"/>
          <w:sz w:val="24"/>
          <w:szCs w:val="24"/>
        </w:rPr>
        <w:t xml:space="preserve">A deep hedger trained at a fixed sigma = 20% collapses under crisis volatility. At sigma = 0.45 (a level neither hedger saw during training), the fixed deep hedger achieves CVaR95 = +16.5, far worse than Whalley-Wilmott at +10.24. The regime-aware hedger, trained across sigma ~ U[0.10, 0.40], achieves CVaR95 = +10.88 at the same crisis level, a 34% reduction in tail loss relative to the fixed hedger and within 6% of the analytical Whalley-Wilmott bound.</w:t>
      </w:r>
    </w:p>
    <w:p>
      <w:pPr>
        <w:spacing w:after="160" w:before="0"/>
        <w:jc w:val="left"/>
      </w:pPr>
      <w:r>
        <w:rPr>
          <w:rFonts w:ascii="Times New Roman" w:cs="Times New Roman" w:eastAsia="Times New Roman" w:hAnsi="Times New Roman"/>
          <w:b w:val="false"/>
          <w:bCs w:val="false"/>
          <w:i w:val="false"/>
          <w:iCs w:val="false"/>
          <w:sz w:val="24"/>
          <w:szCs w:val="24"/>
        </w:rPr>
        <w:t xml:space="preserve">The regime-aware network learned the correct mechanism: it uses the volatility input feature to widen its no-trade band when vol is high. At normal vol levels (sigma = 0.20), both deep hedgers perform similarly. The divergence appears precisely at the out-of-distribution crisis level, confirming that the vol-conditioned policy is the source of the improvement.</w:t>
      </w:r>
    </w:p>
    <w:p>
      <w:pPr>
        <w:pStyle w:val="Heading2"/>
        <w:spacing w:after="100" w:before="240"/>
      </w:pPr>
      <w:r>
        <w:rPr>
          <w:rFonts w:ascii="Times New Roman" w:cs="Times New Roman" w:eastAsia="Times New Roman" w:hAnsi="Times New Roman"/>
          <w:b/>
          <w:bCs/>
          <w:sz w:val="24"/>
          <w:szCs w:val="24"/>
        </w:rPr>
        <w:t xml:space="preserve">5.7 Drift-Invariance Test</w:t>
      </w:r>
    </w:p>
    <w:p>
      <w:pPr>
        <w:spacing w:after="160" w:before="0"/>
        <w:jc w:val="left"/>
      </w:pPr>
      <w:r>
        <w:rPr>
          <w:rFonts w:ascii="Times New Roman" w:cs="Times New Roman" w:eastAsia="Times New Roman" w:hAnsi="Times New Roman"/>
          <w:b w:val="false"/>
          <w:bCs w:val="false"/>
          <w:i w:val="false"/>
          <w:iCs w:val="false"/>
          <w:sz w:val="24"/>
          <w:szCs w:val="24"/>
        </w:rPr>
        <w:t xml:space="preserve">A key result from derivative pricing theory is that the optimal hedging policy is independent of the expected return of the underlying. We verify this empirically by evaluating the trained network at five drift levels from 0% to 20%. The deep hedger's CVaR95 varies by less than 0.01 across all drift levels, consistent with the theoretical prediction of zero drift sensitivity. This confirms that the network encoded the correct pricing theory: the hedge is determined by volatility and moneyness alone.</w:t>
      </w:r>
    </w:p>
    <w:p>
      <w:pPr>
        <w:pStyle w:val="Heading1"/>
        <w:spacing w:after="120" w:before="300"/>
      </w:pPr>
      <w:r>
        <w:rPr>
          <w:rFonts w:ascii="Times New Roman" w:cs="Times New Roman" w:eastAsia="Times New Roman" w:hAnsi="Times New Roman"/>
          <w:b/>
          <w:bCs/>
          <w:sz w:val="28"/>
          <w:szCs w:val="28"/>
        </w:rPr>
        <w:t xml:space="preserve">6. Conclusion</w:t>
      </w:r>
    </w:p>
    <w:p>
      <w:pPr>
        <w:spacing w:after="160" w:before="0"/>
        <w:jc w:val="left"/>
      </w:pPr>
      <w:r>
        <w:rPr>
          <w:rFonts w:ascii="Times New Roman" w:cs="Times New Roman" w:eastAsia="Times New Roman" w:hAnsi="Times New Roman"/>
          <w:b w:val="false"/>
          <w:bCs w:val="false"/>
          <w:i w:val="false"/>
          <w:iCs w:val="false"/>
          <w:sz w:val="24"/>
          <w:szCs w:val="24"/>
        </w:rPr>
        <w:t xml:space="preserve">We trained a neural-network hedging policy end-to-end on CVaR tail risk and evaluated it across seven experiments covering vanilla and path-dependent payoffs, complete and incomplete markets, in-distribution and out-of-distribution volatility regimes, and varying transaction cost levels. The main findings are as follows.</w:t>
      </w:r>
    </w:p>
    <w:p>
      <w:pPr>
        <w:spacing w:after="160" w:before="0"/>
        <w:jc w:val="left"/>
      </w:pPr>
      <w:r>
        <w:rPr>
          <w:rFonts w:ascii="Times New Roman" w:cs="Times New Roman" w:eastAsia="Times New Roman" w:hAnsi="Times New Roman"/>
          <w:b w:val="false"/>
          <w:bCs w:val="false"/>
          <w:i w:val="false"/>
          <w:iCs w:val="false"/>
          <w:sz w:val="24"/>
          <w:szCs w:val="24"/>
        </w:rPr>
        <w:t xml:space="preserve">The deep hedger achieves lower tail CVaR than both Black-Scholes delta and Whalley-Wilmott on the vanilla call at the baseline cost of 0.5%, with 43% lower turnover than BS delta. The advantage is statistically significant and robust to cost levels at and above the training level.</w:t>
      </w:r>
    </w:p>
    <w:p>
      <w:pPr>
        <w:spacing w:after="160" w:before="0"/>
        <w:jc w:val="left"/>
      </w:pPr>
      <w:r>
        <w:rPr>
          <w:rFonts w:ascii="Times New Roman" w:cs="Times New Roman" w:eastAsia="Times New Roman" w:hAnsi="Times New Roman"/>
          <w:b w:val="false"/>
          <w:bCs w:val="false"/>
          <w:i w:val="false"/>
          <w:iCs w:val="false"/>
          <w:sz w:val="24"/>
          <w:szCs w:val="24"/>
        </w:rPr>
        <w:t xml:space="preserve">For the barrier option, the improvement over BS delta is substantially larger (22% lower CVaR), reflecting the structural misspecification of BS delta near the barrier. The network learns smooth pre-positioning that avoids the costly delta spike, a behavior that classical methods cannot replicate.</w:t>
      </w:r>
    </w:p>
    <w:p>
      <w:pPr>
        <w:spacing w:after="160" w:before="0"/>
        <w:jc w:val="left"/>
      </w:pPr>
      <w:r>
        <w:rPr>
          <w:rFonts w:ascii="Times New Roman" w:cs="Times New Roman" w:eastAsia="Times New Roman" w:hAnsi="Times New Roman"/>
          <w:b w:val="false"/>
          <w:bCs w:val="false"/>
          <w:i w:val="false"/>
          <w:iCs w:val="false"/>
          <w:sz w:val="24"/>
          <w:szCs w:val="24"/>
        </w:rPr>
        <w:t xml:space="preserve">The regime-aware training extension is our primary original contribution. Training across a distribution of volatility levels rather than a fixed one produces a network that survives crisis volatility (sigma = 0.45) with 34% lower CVaR than a standard deep hedger, approaching the analytical Whalley-Wilmott bound even at an unseen volatility level.</w:t>
      </w:r>
    </w:p>
    <w:p>
      <w:pPr>
        <w:spacing w:after="160" w:before="0"/>
        <w:jc w:val="left"/>
      </w:pPr>
      <w:r>
        <w:rPr>
          <w:rFonts w:ascii="Times New Roman" w:cs="Times New Roman" w:eastAsia="Times New Roman" w:hAnsi="Times New Roman"/>
          <w:b w:val="false"/>
          <w:bCs w:val="false"/>
          <w:i w:val="false"/>
          <w:iCs w:val="false"/>
          <w:sz w:val="24"/>
          <w:szCs w:val="24"/>
        </w:rPr>
        <w:t xml:space="preserve">Three empirical integrity checks confirm the network learned the correct theory: it converges to BS delta at zero cost, its no-trade band increases monotonically with transaction cost, and its hedging loss is invariant to the drift parameter.</w:t>
      </w:r>
    </w:p>
    <w:p>
      <w:pPr>
        <w:spacing w:after="160" w:before="0"/>
        <w:jc w:val="left"/>
      </w:pPr>
      <w:r>
        <w:rPr>
          <w:rFonts w:ascii="Times New Roman" w:cs="Times New Roman" w:eastAsia="Times New Roman" w:hAnsi="Times New Roman"/>
          <w:b w:val="false"/>
          <w:bCs w:val="false"/>
          <w:i w:val="false"/>
          <w:iCs w:val="false"/>
          <w:sz w:val="24"/>
          <w:szCs w:val="24"/>
        </w:rPr>
        <w:t xml:space="preserve">Several limitations are worth noting. The Heston simulation uses literature parameter values rather than a formal calibration to options market data. The no-trade band experiment uses a coarser grid than optimal for the lowest cost levels, slightly understating the learned band at those points. The LSTM extension was not implemented and remains a natural direction for future work, as path memory could plausibly improve barrier option hedging further. Finally, the regime-aware hedger is trained over a uniform distribution of vol levels; a more principled choice based on historical vol dynamics might improve robustness further.</w:t>
      </w:r>
    </w:p>
    <w:p>
      <w:pPr>
        <w:pStyle w:val="Heading1"/>
        <w:spacing w:after="120" w:before="300"/>
      </w:pPr>
      <w:r>
        <w:rPr>
          <w:rFonts w:ascii="Times New Roman" w:cs="Times New Roman" w:eastAsia="Times New Roman" w:hAnsi="Times New Roman"/>
          <w:b/>
          <w:bCs/>
          <w:sz w:val="28"/>
          <w:szCs w:val="28"/>
        </w:rPr>
        <w:t xml:space="preserve">Appendix: Full Results Summary</w:t>
      </w:r>
    </w:p>
    <w:p>
      <w:pPr>
        <w:spacing w:after="160" w:before="0"/>
        <w:jc w:val="left"/>
      </w:pPr>
      <w:r>
        <w:rPr>
          <w:rFonts w:ascii="Times New Roman" w:cs="Times New Roman" w:eastAsia="Times New Roman" w:hAnsi="Times New Roman"/>
          <w:b w:val="false"/>
          <w:bCs w:val="false"/>
          <w:i w:val="false"/>
          <w:iCs w:val="false"/>
          <w:sz w:val="24"/>
          <w:szCs w:val="24"/>
        </w:rPr>
        <w:t xml:space="preserve">Table 2 summarizes results across all seven experiments.</w:t>
      </w:r>
    </w:p>
    <w:p>
      <w:pPr>
        <w:spacing w:after="160" w:before="0"/>
        <w:jc w:val="left"/>
      </w:pPr>
      <w:r>
        <w:rPr>
          <w:rFonts w:ascii="Times New Roman" w:cs="Times New Roman" w:eastAsia="Times New Roman" w:hAnsi="Times New Roman"/>
          <w:b w:val="false"/>
          <w:bCs w:val="false"/>
          <w:i w:val="false"/>
          <w:iCs w:val="false"/>
          <w:sz w:val="24"/>
          <w:szCs w:val="24"/>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000"/>
        <w:gridCol w:w="1400"/>
        <w:gridCol w:w="1800"/>
        <w:gridCol w:w="2360"/>
      </w:tblGrid>
      <w:tr>
        <w:tc>
          <w:tcPr>
            <w:tcW w:type="dxa" w:w="1800"/>
            <w:tcBorders>
              <w:top w:val="single" w:color="2E75B6" w:sz="4"/>
              <w:left w:val="single" w:color="2E75B6" w:sz="4"/>
              <w:bottom w:val="single" w:color="2E75B6" w:sz="4"/>
              <w:right w:val="single" w:color="2E75B6" w:sz="4"/>
            </w:tcBorders>
            <w:shd w:fill="D5E8F0" w:val="clear"/>
            <w:tcMar>
              <w:top w:type="dxa" w:w="80"/>
              <w:left w:type="dxa" w:w="120"/>
              <w:bottom w:type="dxa" w:w="80"/>
              <w:right w:type="dxa" w:w="120"/>
            </w:tcMar>
          </w:tcPr>
          <w:p>
            <w:r>
              <w:rPr>
                <w:rFonts w:ascii="Times New Roman" w:cs="Times New Roman" w:eastAsia="Times New Roman" w:hAnsi="Times New Roman"/>
                <w:b/>
                <w:bCs/>
                <w:sz w:val="19"/>
                <w:szCs w:val="19"/>
              </w:rPr>
              <w:t xml:space="preserve">Experiment</w:t>
            </w:r>
          </w:p>
        </w:tc>
        <w:tc>
          <w:tcPr>
            <w:tcW w:type="dxa" w:w="2000"/>
            <w:tcBorders>
              <w:top w:val="single" w:color="2E75B6" w:sz="4"/>
              <w:left w:val="single" w:color="2E75B6" w:sz="4"/>
              <w:bottom w:val="single" w:color="2E75B6" w:sz="4"/>
              <w:right w:val="single" w:color="2E75B6" w:sz="4"/>
            </w:tcBorders>
            <w:shd w:fill="D5E8F0" w:val="clear"/>
            <w:tcMar>
              <w:top w:type="dxa" w:w="80"/>
              <w:left w:type="dxa" w:w="120"/>
              <w:bottom w:type="dxa" w:w="80"/>
              <w:right w:type="dxa" w:w="120"/>
            </w:tcMar>
          </w:tcPr>
          <w:p>
            <w:r>
              <w:rPr>
                <w:rFonts w:ascii="Times New Roman" w:cs="Times New Roman" w:eastAsia="Times New Roman" w:hAnsi="Times New Roman"/>
                <w:b/>
                <w:bCs/>
                <w:sz w:val="19"/>
                <w:szCs w:val="19"/>
              </w:rPr>
              <w:t xml:space="preserve">Setting</w:t>
            </w:r>
          </w:p>
        </w:tc>
        <w:tc>
          <w:tcPr>
            <w:tcW w:type="dxa" w:w="1400"/>
            <w:tcBorders>
              <w:top w:val="single" w:color="2E75B6" w:sz="4"/>
              <w:left w:val="single" w:color="2E75B6" w:sz="4"/>
              <w:bottom w:val="single" w:color="2E75B6" w:sz="4"/>
              <w:right w:val="single" w:color="2E75B6" w:sz="4"/>
            </w:tcBorders>
            <w:shd w:fill="D5E8F0" w:val="clear"/>
            <w:tcMar>
              <w:top w:type="dxa" w:w="80"/>
              <w:left w:type="dxa" w:w="120"/>
              <w:bottom w:type="dxa" w:w="80"/>
              <w:right w:type="dxa" w:w="120"/>
            </w:tcMar>
          </w:tcPr>
          <w:p>
            <w:r>
              <w:rPr>
                <w:rFonts w:ascii="Times New Roman" w:cs="Times New Roman" w:eastAsia="Times New Roman" w:hAnsi="Times New Roman"/>
                <w:b/>
                <w:bCs/>
                <w:sz w:val="19"/>
                <w:szCs w:val="19"/>
              </w:rPr>
              <w:t xml:space="preserve">DH CVaR</w:t>
            </w:r>
          </w:p>
        </w:tc>
        <w:tc>
          <w:tcPr>
            <w:tcW w:type="dxa" w:w="1800"/>
            <w:tcBorders>
              <w:top w:val="single" w:color="2E75B6" w:sz="4"/>
              <w:left w:val="single" w:color="2E75B6" w:sz="4"/>
              <w:bottom w:val="single" w:color="2E75B6" w:sz="4"/>
              <w:right w:val="single" w:color="2E75B6" w:sz="4"/>
            </w:tcBorders>
            <w:shd w:fill="D5E8F0" w:val="clear"/>
            <w:tcMar>
              <w:top w:type="dxa" w:w="80"/>
              <w:left w:type="dxa" w:w="120"/>
              <w:bottom w:type="dxa" w:w="80"/>
              <w:right w:type="dxa" w:w="120"/>
            </w:tcMar>
          </w:tcPr>
          <w:p>
            <w:r>
              <w:rPr>
                <w:rFonts w:ascii="Times New Roman" w:cs="Times New Roman" w:eastAsia="Times New Roman" w:hAnsi="Times New Roman"/>
                <w:b/>
                <w:bCs/>
                <w:sz w:val="19"/>
                <w:szCs w:val="19"/>
              </w:rPr>
              <w:t xml:space="preserve">Best Baseline</w:t>
            </w:r>
          </w:p>
        </w:tc>
        <w:tc>
          <w:tcPr>
            <w:tcW w:type="dxa" w:w="2360"/>
            <w:tcBorders>
              <w:top w:val="single" w:color="2E75B6" w:sz="4"/>
              <w:left w:val="single" w:color="2E75B6" w:sz="4"/>
              <w:bottom w:val="single" w:color="2E75B6" w:sz="4"/>
              <w:right w:val="single" w:color="2E75B6" w:sz="4"/>
            </w:tcBorders>
            <w:shd w:fill="D5E8F0" w:val="clear"/>
            <w:tcMar>
              <w:top w:type="dxa" w:w="80"/>
              <w:left w:type="dxa" w:w="120"/>
              <w:bottom w:type="dxa" w:w="80"/>
              <w:right w:type="dxa" w:w="120"/>
            </w:tcMar>
          </w:tcPr>
          <w:p>
            <w:r>
              <w:rPr>
                <w:rFonts w:ascii="Times New Roman" w:cs="Times New Roman" w:eastAsia="Times New Roman" w:hAnsi="Times New Roman"/>
                <w:b/>
                <w:bCs/>
                <w:sz w:val="19"/>
                <w:szCs w:val="19"/>
              </w:rPr>
              <w:t xml:space="preserve">Improvement</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1 - Vanilla call</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GBM, c=0.5%</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+4.966</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WW: +5.324</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6.7% lower CVaR, 43% less trading</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2 - Cost generalization</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6 cost levels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beats WW at c &gt;= 0.1%</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WW</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Robust generalization</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3 - No-trade band</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5 cost levels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correct direction</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WW analytical</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Scaling law rediscovered</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4 - Heston SV</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Incomplete market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+5.273</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WW: +5.728</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7.9% lower CVaR</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5 - Barrier option</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Path-dependent</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+4.099</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BS: +5.281</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22% lower CVaR</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6 - Crisis stress</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sigma=0.45, unseen</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DH-regime: +10.88</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WW: +10.24</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34% lower vs DH-fixed</w:t>
            </w:r>
          </w:p>
        </w:tc>
      </w:tr>
      <w:tr>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7 - Drift-invariance</w:t>
            </w:r>
          </w:p>
        </w:tc>
        <w:tc>
          <w:tcPr>
            <w:tcW w:type="dxa" w:w="20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5 drift levels</w:t>
            </w:r>
          </w:p>
        </w:tc>
        <w:tc>
          <w:tcPr>
            <w:tcW w:type="dxa" w:w="14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range ~0.01</w:t>
            </w:r>
          </w:p>
        </w:tc>
        <w:tc>
          <w:tcPr>
            <w:tcW w:type="dxa" w:w="180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Theory: 0</w:t>
            </w:r>
          </w:p>
        </w:tc>
        <w:tc>
          <w:tcPr>
            <w:tcW w:type="dxa" w:w="2360"/>
            <w:tcBorders>
              <w:top w:val="single" w:color="CCCCCC" w:sz="1"/>
              <w:left w:val="single" w:color="CCCCCC" w:sz="1"/>
              <w:bottom w:val="single" w:color="CCCCCC" w:sz="1"/>
              <w:right w:val="single" w:color="CCCCCC" w:sz="1"/>
            </w:tcBorders>
            <w:shd w:fill="FFFFFF" w:val="clear"/>
            <w:tcMar>
              <w:top w:type="dxa" w:w="80"/>
              <w:left w:type="dxa" w:w="120"/>
              <w:bottom w:type="dxa" w:w="80"/>
              <w:right w:type="dxa" w:w="120"/>
            </w:tcMar>
          </w:tcPr>
          <w:p>
            <w:r>
              <w:rPr>
                <w:rFonts w:ascii="Times New Roman" w:cs="Times New Roman" w:eastAsia="Times New Roman" w:hAnsi="Times New Roman"/>
                <w:b w:val="false"/>
                <w:bCs w:val="false"/>
                <w:sz w:val="19"/>
                <w:szCs w:val="19"/>
              </w:rPr>
              <w:t xml:space="preserve">Drift-neutral confirmed</w:t>
            </w:r>
          </w:p>
        </w:tc>
      </w:tr>
    </w:tbl>
    <w:p>
      <w:pPr>
        <w:spacing w:after="160" w:before="80"/>
        <w:jc w:val="left"/>
      </w:pPr>
      <w:r>
        <w:rPr>
          <w:rFonts w:ascii="Times New Roman" w:cs="Times New Roman" w:eastAsia="Times New Roman" w:hAnsi="Times New Roman"/>
          <w:b w:val="false"/>
          <w:bCs w:val="false"/>
          <w:i/>
          <w:iCs/>
          <w:sz w:val="20"/>
          <w:szCs w:val="20"/>
        </w:rPr>
        <w:t xml:space="preserve">Table 2: Summary of all experimental results. CVaR95 lower (less positive) is better.</w:t>
      </w:r>
    </w:p>
    <w:p>
      <w:pPr>
        <w:pStyle w:val="Heading1"/>
        <w:spacing w:after="120" w:before="300"/>
      </w:pPr>
      <w:r>
        <w:rPr>
          <w:rFonts w:ascii="Times New Roman" w:cs="Times New Roman" w:eastAsia="Times New Roman" w:hAnsi="Times New Roman"/>
          <w:b/>
          <w:bCs/>
          <w:sz w:val="28"/>
          <w:szCs w:val="28"/>
        </w:rPr>
        <w:t xml:space="preserve">References</w:t>
      </w:r>
    </w:p>
    <w:p>
      <w:pPr>
        <w:spacing w:after="160" w:before="0"/>
        <w:jc w:val="left"/>
      </w:pPr>
      <w:r>
        <w:rPr>
          <w:rFonts w:ascii="Times New Roman" w:cs="Times New Roman" w:eastAsia="Times New Roman" w:hAnsi="Times New Roman"/>
          <w:b w:val="false"/>
          <w:bCs w:val="false"/>
          <w:i w:val="false"/>
          <w:iCs w:val="false"/>
          <w:sz w:val="24"/>
          <w:szCs w:val="24"/>
        </w:rPr>
        <w:t xml:space="preserve">Bakshi, G., Cao, C., and Chen, Z. (1997). Empirical performance of alternative option pricing models. Journal of Finance, 52(5), 2003-2049.</w:t>
      </w:r>
    </w:p>
    <w:p>
      <w:pPr>
        <w:spacing w:after="160" w:before="0"/>
        <w:jc w:val="left"/>
      </w:pPr>
      <w:r>
        <w:rPr>
          <w:rFonts w:ascii="Times New Roman" w:cs="Times New Roman" w:eastAsia="Times New Roman" w:hAnsi="Times New Roman"/>
          <w:b w:val="false"/>
          <w:bCs w:val="false"/>
          <w:i w:val="false"/>
          <w:iCs w:val="false"/>
          <w:sz w:val="24"/>
          <w:szCs w:val="24"/>
        </w:rPr>
        <w:t xml:space="preserve">Black, F. and Scholes, M. (1973). The pricing of options and corporate liabilities. Journal of Political Economy, 81(3), 637-654.</w:t>
      </w:r>
    </w:p>
    <w:p>
      <w:pPr>
        <w:spacing w:after="160" w:before="0"/>
        <w:jc w:val="left"/>
      </w:pPr>
      <w:r>
        <w:rPr>
          <w:rFonts w:ascii="Times New Roman" w:cs="Times New Roman" w:eastAsia="Times New Roman" w:hAnsi="Times New Roman"/>
          <w:b w:val="false"/>
          <w:bCs w:val="false"/>
          <w:i w:val="false"/>
          <w:iCs w:val="false"/>
          <w:sz w:val="24"/>
          <w:szCs w:val="24"/>
        </w:rPr>
        <w:t xml:space="preserve">Buehler, H., Gonon, L., Teichmann, J., and Wood, B. (2019). Deep hedging. Quantitative Finance, 19(8), 1271-1291. arXiv:1802.03042.</w:t>
      </w:r>
    </w:p>
    <w:p>
      <w:pPr>
        <w:spacing w:after="160" w:before="0"/>
        <w:jc w:val="left"/>
      </w:pPr>
      <w:r>
        <w:rPr>
          <w:rFonts w:ascii="Times New Roman" w:cs="Times New Roman" w:eastAsia="Times New Roman" w:hAnsi="Times New Roman"/>
          <w:b w:val="false"/>
          <w:bCs w:val="false"/>
          <w:i w:val="false"/>
          <w:iCs w:val="false"/>
          <w:sz w:val="24"/>
          <w:szCs w:val="24"/>
        </w:rPr>
        <w:t xml:space="preserve">Carbonneau, A. (2021). Deep hedging of long-term financial derivatives. arXiv:2007.15128.</w:t>
      </w:r>
    </w:p>
    <w:p>
      <w:pPr>
        <w:spacing w:after="160" w:before="0"/>
        <w:jc w:val="left"/>
      </w:pPr>
      <w:r>
        <w:rPr>
          <w:rFonts w:ascii="Times New Roman" w:cs="Times New Roman" w:eastAsia="Times New Roman" w:hAnsi="Times New Roman"/>
          <w:b w:val="false"/>
          <w:bCs w:val="false"/>
          <w:i w:val="false"/>
          <w:iCs w:val="false"/>
          <w:sz w:val="24"/>
          <w:szCs w:val="24"/>
        </w:rPr>
        <w:t xml:space="preserve">Hodges, S. and Neuberger, A. (1989). Optimal replication of contingent claims under transaction costs. Review of Futures Markets, 8(2), 222-239.</w:t>
      </w:r>
    </w:p>
    <w:p>
      <w:pPr>
        <w:spacing w:after="160" w:before="0"/>
        <w:jc w:val="left"/>
      </w:pPr>
      <w:r>
        <w:rPr>
          <w:rFonts w:ascii="Times New Roman" w:cs="Times New Roman" w:eastAsia="Times New Roman" w:hAnsi="Times New Roman"/>
          <w:b w:val="false"/>
          <w:bCs w:val="false"/>
          <w:i w:val="false"/>
          <w:iCs w:val="false"/>
          <w:sz w:val="24"/>
          <w:szCs w:val="24"/>
        </w:rPr>
        <w:t xml:space="preserve">Horvath, B., Teichmann, J., and Zuric, Z. (2021). Deep hedging under rough volatility. arXiv:2102.01962.</w:t>
      </w:r>
    </w:p>
    <w:p>
      <w:pPr>
        <w:spacing w:after="160" w:before="0"/>
        <w:jc w:val="left"/>
      </w:pPr>
      <w:r>
        <w:rPr>
          <w:rFonts w:ascii="Times New Roman" w:cs="Times New Roman" w:eastAsia="Times New Roman" w:hAnsi="Times New Roman"/>
          <w:b w:val="false"/>
          <w:bCs w:val="false"/>
          <w:i w:val="false"/>
          <w:iCs w:val="false"/>
          <w:sz w:val="24"/>
          <w:szCs w:val="24"/>
        </w:rPr>
        <w:t xml:space="preserve">Leland, H. (1985). Option pricing and replication with transactions costs. Journal of Finance, 40(5), 1283-1301.</w:t>
      </w:r>
    </w:p>
    <w:p>
      <w:pPr>
        <w:spacing w:after="160" w:before="0"/>
        <w:jc w:val="left"/>
      </w:pPr>
      <w:r>
        <w:rPr>
          <w:rFonts w:ascii="Times New Roman" w:cs="Times New Roman" w:eastAsia="Times New Roman" w:hAnsi="Times New Roman"/>
          <w:b w:val="false"/>
          <w:bCs w:val="false"/>
          <w:i w:val="false"/>
          <w:iCs w:val="false"/>
          <w:sz w:val="24"/>
          <w:szCs w:val="24"/>
        </w:rPr>
        <w:t xml:space="preserve">Merton, R. (1973). Theory of rational option pricing. Bell Journal of Economics and Management Science, 4(1), 141-183.</w:t>
      </w:r>
    </w:p>
    <w:p>
      <w:pPr>
        <w:spacing w:after="160" w:before="0"/>
        <w:jc w:val="left"/>
      </w:pPr>
      <w:r>
        <w:rPr>
          <w:rFonts w:ascii="Times New Roman" w:cs="Times New Roman" w:eastAsia="Times New Roman" w:hAnsi="Times New Roman"/>
          <w:b w:val="false"/>
          <w:bCs w:val="false"/>
          <w:i w:val="false"/>
          <w:iCs w:val="false"/>
          <w:sz w:val="24"/>
          <w:szCs w:val="24"/>
        </w:rPr>
        <w:t xml:space="preserve">Reppen, A.M., Sircar, R., and Soner, H.M. (2023). Deep stochastic optimization in finance. Digital Finance, 5, 91-111.</w:t>
      </w:r>
    </w:p>
    <w:p>
      <w:pPr>
        <w:spacing w:after="160" w:before="0"/>
        <w:jc w:val="left"/>
      </w:pPr>
      <w:r>
        <w:rPr>
          <w:rFonts w:ascii="Times New Roman" w:cs="Times New Roman" w:eastAsia="Times New Roman" w:hAnsi="Times New Roman"/>
          <w:b w:val="false"/>
          <w:bCs w:val="false"/>
          <w:i w:val="false"/>
          <w:iCs w:val="false"/>
          <w:sz w:val="24"/>
          <w:szCs w:val="24"/>
        </w:rPr>
        <w:t xml:space="preserve">Rockafellar, R.T. and Uryasev, S. (2000). Optimization of conditional value-at-risk. Journal of Risk, 2(3), 21-42.</w:t>
      </w:r>
    </w:p>
    <w:p>
      <w:pPr>
        <w:spacing w:after="160" w:before="0"/>
        <w:jc w:val="left"/>
      </w:pPr>
      <w:r>
        <w:rPr>
          <w:rFonts w:ascii="Times New Roman" w:cs="Times New Roman" w:eastAsia="Times New Roman" w:hAnsi="Times New Roman"/>
          <w:b w:val="false"/>
          <w:bCs w:val="false"/>
          <w:i w:val="false"/>
          <w:iCs w:val="false"/>
          <w:sz w:val="24"/>
          <w:szCs w:val="24"/>
        </w:rPr>
        <w:t xml:space="preserve">Whalley, A.E. and Wilmott, P. (1997). An asymptotic analysis of an optimal hedging model for option pricing with transaction costs. Mathematical Finance, 7(3), 307-324.</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300"/>
      <w:outlineLvl w:val="0"/>
    </w:pPr>
    <w:rPr>
      <w:rFonts w:ascii="Times New Roman" w:cs="Times New Roman" w:eastAsia="Times New Roman" w:hAnsi="Times New Roman"/>
      <w:b/>
      <w:bCs/>
      <w:sz w:val="28"/>
      <w:szCs w:val="28"/>
    </w:rPr>
  </w:style>
  <w:style w:type="paragraph" w:styleId="Heading2">
    <w:name w:val="Heading 2"/>
    <w:basedOn w:val="Normal"/>
    <w:next w:val="Normal"/>
    <w:qFormat/>
    <w:pPr>
      <w:spacing w:after="100" w:before="240"/>
      <w:outlineLvl w:val="1"/>
    </w:pPr>
    <w:rPr>
      <w:rFonts w:ascii="Times New Roman" w:cs="Times New Roman" w:eastAsia="Times New Roman" w:hAnsi="Times New Roman"/>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2026-05-25T17:19:02.582Z</dcterms:created>
  <dcterms:modified xsi:type="dcterms:W3CDTF">2026-05-25T17:19:02.600Z</dcterms:modified>
</cp:coreProperties>
</file>

<file path=docProps/custom.xml><?xml version="1.0" encoding="utf-8"?>
<Properties xmlns="http://schemas.openxmlformats.org/officeDocument/2006/custom-properties" xmlns:vt="http://schemas.openxmlformats.org/officeDocument/2006/docPropsVTypes"/>
</file>