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71" w:name="X039aeb2016e4fe7379ac9a7b5b9485b158f6d95"/>
    <w:p>
      <w:pPr>
        <w:pStyle w:val="Heading1"/>
      </w:pPr>
      <w:r>
        <w:t xml:space="preserve">Judging code quality, whoever or whatever wrote it</w:t>
      </w:r>
    </w:p>
    <w:p>
      <w:pPr>
        <w:pStyle w:val="FirstParagraph"/>
      </w:pPr>
      <w:r>
        <w:rPr>
          <w:b/>
          <w:bCs/>
        </w:rPr>
        <w:t xml:space="preserve">A rubric for answering one question about a body of code: is this good, or is it filler that looks</w:t>
      </w:r>
      <w:r>
        <w:rPr>
          <w:b/>
          <w:bCs/>
        </w:rPr>
        <w:t xml:space="preserve"> </w:t>
      </w:r>
      <w:r>
        <w:rPr>
          <w:b/>
          <w:bCs/>
        </w:rPr>
        <w:t xml:space="preserve">finished?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The rubric judges the artifact, so nothing in it turns on who typed the lines.</w:t>
      </w:r>
      <w:r>
        <w:t xml:space="preserve"> </w:t>
      </w:r>
      <w:r>
        <w:t xml:space="preserve">It was written</w:t>
      </w:r>
      <w:r>
        <w:t xml:space="preserve"> </w:t>
      </w:r>
      <w:r>
        <w:t xml:space="preserve">for a repository where much of the code came from an AI coding assistant across parallel sessions,</w:t>
      </w:r>
      <w:r>
        <w:t xml:space="preserve"> </w:t>
      </w:r>
      <w:r>
        <w:t xml:space="preserve">and it would read the same way for code written entirely by hand.</w:t>
      </w:r>
    </w:p>
    <w:p>
      <w:pPr>
        <w:pStyle w:val="BodyText"/>
      </w:pPr>
      <w:r>
        <w:t xml:space="preserve">Eleven signals answer the question, in two tiers weighted unequally.</w:t>
      </w:r>
      <w:r>
        <w:t xml:space="preserve"> </w:t>
      </w:r>
      <w:r>
        <w:rPr>
          <w:b/>
          <w:bCs/>
        </w:rPr>
        <w:t xml:space="preserve">Tier 1 carries the verdict:</w:t>
      </w:r>
      <w:r>
        <w:t xml:space="preserve"> </w:t>
      </w:r>
      <w:r>
        <w:t xml:space="preserve">six structural properties a machine can check and that are hard to fake -- enforced architecture</w:t>
      </w:r>
      <w:r>
        <w:t xml:space="preserve"> </w:t>
      </w:r>
      <w:r>
        <w:t xml:space="preserve">boundaries, strict type checking, tests that assert real values rather than mock choreography,</w:t>
      </w:r>
      <w:r>
        <w:t xml:space="preserve"> </w:t>
      </w:r>
      <w:r>
        <w:t xml:space="preserve">dependency integrity, blocking security scanning alongside a written threat model, and a published</w:t>
      </w:r>
      <w:r>
        <w:t xml:space="preserve"> </w:t>
      </w:r>
      <w:r>
        <w:t xml:space="preserve">artifact containing only what was declared.</w:t>
      </w:r>
      <w:r>
        <w:t xml:space="preserve"> </w:t>
      </w:r>
      <w:r>
        <w:rPr>
          <w:b/>
          <w:bCs/>
        </w:rPr>
        <w:t xml:space="preserve">Tier 2 only starts conversations:</w:t>
      </w:r>
      <w:r>
        <w:t xml:space="preserve"> </w:t>
      </w:r>
      <w:r>
        <w:t xml:space="preserve">mutation testing,</w:t>
      </w:r>
      <w:r>
        <w:t xml:space="preserve"> </w:t>
      </w:r>
      <w:r>
        <w:t xml:space="preserve">coverage visibility, duplication, lint breadth and complexity triage inform a reviewer and certify</w:t>
      </w:r>
      <w:r>
        <w:t xml:space="preserve"> </w:t>
      </w:r>
      <w:r>
        <w:t xml:space="preserve">nothing.</w:t>
      </w:r>
    </w:p>
    <w:p>
      <w:pPr>
        <w:pStyle w:val="BodyText"/>
      </w:pPr>
      <w:r>
        <w:t xml:space="preserve">The rule that holds the two apart is hard, and it is the one most often broken.</w:t>
      </w:r>
      <w:r>
        <w:t xml:space="preserve"> </w:t>
      </w:r>
      <w:r>
        <w:rPr>
          <w:b/>
          <w:bCs/>
        </w:rPr>
        <w:t xml:space="preserve">Do not certify</w:t>
      </w:r>
      <w:r>
        <w:rPr>
          <w:b/>
          <w:bCs/>
        </w:rPr>
        <w:t xml:space="preserve"> </w:t>
      </w:r>
      <w:r>
        <w:rPr>
          <w:b/>
          <w:bCs/>
        </w:rPr>
        <w:t xml:space="preserve">quality, and do not fail a build, on any single number</w:t>
      </w:r>
      <w:r>
        <w:t xml:space="preserve"> </w:t>
      </w:r>
      <w:r>
        <w:t xml:space="preserve">-- not line coverage, not lines of code,</w:t>
      </w:r>
      <w:r>
        <w:t xml:space="preserve"> </w:t>
      </w:r>
      <w:r>
        <w:t xml:space="preserve">not cyclomatic complexity, not static-analysis severity counts. Any of them may be surfaced as</w:t>
      </w:r>
      <w:r>
        <w:t xml:space="preserve"> </w:t>
      </w:r>
      <w:r>
        <w:t xml:space="preserve">advisory triage that a human arbitrates; none of them may be the gate. The verdict is the composite,</w:t>
      </w:r>
      <w:r>
        <w:t xml:space="preserve"> </w:t>
      </w:r>
      <w:r>
        <w:t xml:space="preserve">never one row.</w:t>
      </w:r>
    </w:p>
    <w:p>
      <w:pPr>
        <w:pStyle w:val="BodyText"/>
      </w:pPr>
      <w:r>
        <w:t xml:space="preserve">Two things this deliberately withholds. It supplies</w:t>
      </w:r>
      <w:r>
        <w:t xml:space="preserve"> </w:t>
      </w:r>
      <w:r>
        <w:rPr>
          <w:b/>
          <w:bCs/>
        </w:rPr>
        <w:t xml:space="preserve">no thresholds</w:t>
      </w:r>
      <w:r>
        <w:t xml:space="preserve">: the published evidence</w:t>
      </w:r>
      <w:r>
        <w:t xml:space="preserve"> </w:t>
      </w:r>
      <w:r>
        <w:t xml:space="preserve">establishes that single metrics fail and validates no cutoff, so any number you use is one you set</w:t>
      </w:r>
      <w:r>
        <w:t xml:space="preserve"> </w:t>
      </w:r>
      <w:r>
        <w:t xml:space="preserve">and have to defend. And where merges cannot be blocked, Tier 1 degrades from a set of controls to a</w:t>
      </w:r>
      <w:r>
        <w:t xml:space="preserve"> </w:t>
      </w:r>
      <w:r>
        <w:t xml:space="preserve">checklist -- which an honest scorecard says out loud rather than scoring around.</w:t>
      </w:r>
    </w:p>
    <w:p>
      <w:r>
        <w:pict>
          <v:rect style="width:0;height:1.5pt" o:hralign="center" o:hrstd="t" o:hr="t"/>
        </w:pict>
      </w:r>
    </w:p>
    <w:bookmarkEnd w:id="12"/>
    <w:bookmarkStart w:id="14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confers no certification.</w:t>
      </w:r>
      <w:r>
        <w:t xml:space="preserve"> </w:t>
      </w:r>
      <w:r>
        <w:t xml:space="preserve">There is no badge, no pass mark, and no grade. A completed</w:t>
      </w:r>
      <w:r>
        <w:t xml:space="preserve"> </w:t>
      </w:r>
      <w:r>
        <w:t xml:space="preserve">scorecard is an argued position with pointers, nothing more.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supplies no thresholds.</w:t>
      </w:r>
      <w:r>
        <w:t xml:space="preserve"> </w:t>
      </w:r>
      <w:r>
        <w:t xml:space="preserve">The evidence validates that single metrics fail; it supplies no</w:t>
      </w:r>
      <w:r>
        <w:t xml:space="preserve"> </w:t>
      </w:r>
      <w:r>
        <w:t xml:space="preserve">validated cutoff for a combined scorecard. Any number you use is one you set and must defend.</w:t>
      </w:r>
      <w:r>
        <w:t xml:space="preserve"> </w:t>
      </w:r>
      <w:r>
        <w:t xml:space="preserve">See</w:t>
      </w:r>
      <w:r>
        <w:t xml:space="preserve"> </w:t>
      </w:r>
      <w:hyperlink r:id="rId13">
        <w:r>
          <w:rPr>
            <w:rStyle w:val="Hyperlink"/>
          </w:rPr>
          <w:t xml:space="preserve">There is no validated universal threshold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ships no configuration.</w:t>
      </w:r>
      <w:r>
        <w:t xml:space="preserve"> </w:t>
      </w:r>
      <w:r>
        <w:t xml:space="preserve">No workflow, no tool selection, no lint ruleset. Every gate named</w:t>
      </w:r>
      <w:r>
        <w:t xml:space="preserve"> </w:t>
      </w:r>
      <w:r>
        <w:t xml:space="preserve">below is described by what it must prove, not by the product that proves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of the eleven rows are owned by a companion document</w:t>
      </w:r>
      <w:r>
        <w:t xml:space="preserve"> </w:t>
      </w:r>
      <w:r>
        <w:t xml:space="preserve">-- your security standard, your</w:t>
      </w:r>
      <w:r>
        <w:t xml:space="preserve"> </w:t>
      </w:r>
      <w:r>
        <w:t xml:space="preserve">dependency standard, your test standard. This document checks that the control is present; it does</w:t>
      </w:r>
      <w:r>
        <w:t xml:space="preserve"> </w:t>
      </w:r>
      <w:r>
        <w:t xml:space="preserve">not restate it. With no such companion, the rubric tells you a row is missing and not how to build</w:t>
      </w:r>
      <w:r>
        <w:t xml:space="preserve"> </w:t>
      </w:r>
      <w:r>
        <w:t xml:space="preserve">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measurement layer costs pipeline minutes and produces advisory output nobody is obliged to</w:t>
      </w:r>
      <w:r>
        <w:rPr>
          <w:b/>
          <w:bCs/>
        </w:rPr>
        <w:t xml:space="preserve"> </w:t>
      </w:r>
      <w:r>
        <w:rPr>
          <w:b/>
          <w:bCs/>
        </w:rPr>
        <w:t xml:space="preserve">act on.</w:t>
      </w:r>
      <w:r>
        <w:t xml:space="preserve"> </w:t>
      </w:r>
      <w:r>
        <w:t xml:space="preserve">Budget the attention, not only the runtime. An advisory job nobody reads is worse than</w:t>
      </w:r>
      <w:r>
        <w:t xml:space="preserve"> </w:t>
      </w:r>
      <w:r>
        <w:t xml:space="preserve">absent, because the scorecard still counts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Several rows assume a pipeline that can block a merge.</w:t>
      </w:r>
      <w:r>
        <w:t xml:space="preserve"> </w:t>
      </w:r>
      <w:r>
        <w:t xml:space="preserve">Where merges cannot be blocked, Tier 1</w:t>
      </w:r>
      <w:r>
        <w:t xml:space="preserve"> </w:t>
      </w:r>
      <w:r>
        <w:t xml:space="preserve">degrades from a control to a checklist, and the honest scorecard says so.</w:t>
      </w:r>
    </w:p>
    <w:p>
      <w:pPr>
        <w:pStyle w:val="FirstParagraph"/>
      </w:pPr>
      <w:r>
        <w:rPr>
          <w:b/>
          <w:bCs/>
        </w:rPr>
        <w:t xml:space="preserve">Figures come from two places, and the difference is marked at the point of use.</w:t>
      </w:r>
      <w:r>
        <w:t xml:space="preserve"> </w:t>
      </w:r>
      <w:r>
        <w:t xml:space="preserve">Every</w:t>
      </w:r>
      <w:r>
        <w:t xml:space="preserve"> </w:t>
      </w:r>
      <w:r>
        <w:t xml:space="preserve">published-research figure carries an explicit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tag and its own limitation in the same</w:t>
      </w:r>
      <w:r>
        <w:t xml:space="preserve"> </w:t>
      </w:r>
      <w:r>
        <w:t xml:space="preserve">sentence. The remaining figures were measured in one project's practice and are stated to justify a</w:t>
      </w:r>
      <w:r>
        <w:t xml:space="preserve"> </w:t>
      </w:r>
      <w:r>
        <w:t xml:space="preserve">rule, never as constants you should expect to reproduce. Where a rule came from a specific failure,</w:t>
      </w:r>
      <w:r>
        <w:t xml:space="preserve"> </w:t>
      </w:r>
      <w:r>
        <w:t xml:space="preserve">the failure is described without its setting.</w:t>
      </w:r>
    </w:p>
    <w:p>
      <w:r>
        <w:pict>
          <v:rect style="width:0;height:1.5pt" o:hralign="center" o:hrstd="t" o:hr="t"/>
        </w:pict>
      </w:r>
    </w:p>
    <w:bookmarkEnd w:id="14"/>
    <w:bookmarkStart w:id="16" w:name="how-to-adopt-this"/>
    <w:p>
      <w:pPr>
        <w:pStyle w:val="Heading2"/>
      </w:pPr>
      <w:r>
        <w:t xml:space="preserve">How to adopt this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Score Tier 1 as a read-only audit, once.</w:t>
      </w:r>
      <w:r>
        <w:t xml:space="preserve"> </w:t>
      </w:r>
      <w:r>
        <w:t xml:space="preserve">Answer the six Tier 1 questions about your</w:t>
      </w:r>
      <w:r>
        <w:t xml:space="preserve"> </w:t>
      </w:r>
      <w:r>
        <w:t xml:space="preserve">repository and write a pointer to the evidence for each. Anything you did not check is</w:t>
      </w:r>
      <w:r>
        <w:t xml:space="preserve"> </w:t>
      </w:r>
      <w:r>
        <w:rPr>
          <w:b/>
          <w:bCs/>
        </w:rPr>
        <w:t xml:space="preserve">unverified</w:t>
      </w:r>
      <w:r>
        <w:t xml:space="preserve">, and unverified is not a pass. This takes an afternoon and is the whole minimum</w:t>
      </w:r>
      <w:r>
        <w:t xml:space="preserve"> </w:t>
      </w:r>
      <w:r>
        <w:t xml:space="preserve">viable adoption.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Close the cheapest Tier 1 gap.</w:t>
      </w:r>
      <w:r>
        <w:t xml:space="preserve"> </w:t>
      </w:r>
      <w:r>
        <w:t xml:space="preserve">Tier 1 carries the verdict, so a missing durable control</w:t>
      </w:r>
      <w:r>
        <w:t xml:space="preserve"> </w:t>
      </w:r>
      <w:r>
        <w:t xml:space="preserve">outranks every measurement gate you could add instead.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one Tier 2 gate, with a receipt.</w:t>
      </w:r>
      <w:r>
        <w:t xml:space="preserve"> </w:t>
      </w:r>
      <w:r>
        <w:t xml:space="preserve">Pick the one that answers a question you currently</w:t>
      </w:r>
      <w:r>
        <w:t xml:space="preserve"> </w:t>
      </w:r>
      <w:r>
        <w:t xml:space="preserve">cannot answer. Make it print what it examined before you believe its green. See</w:t>
      </w:r>
      <w:r>
        <w:t xml:space="preserve"> </w:t>
      </w:r>
      <w:hyperlink r:id="rId15">
        <w:r>
          <w:rPr>
            <w:rStyle w:val="Hyperlink"/>
          </w:rPr>
          <w:t xml:space="preserve">Receipts: count what the check examined, never what it found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 it with the failure class it was built to catch</w:t>
      </w:r>
      <w:r>
        <w:t xml:space="preserve">, before you record it as built.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Record your thresholds in your own appendix</w:t>
      </w:r>
      <w:r>
        <w:t xml:space="preserve">, labeled project-set rather than</w:t>
      </w:r>
      <w:r>
        <w:t xml:space="preserve"> </w:t>
      </w:r>
      <w:r>
        <w:t xml:space="preserve">evidence-certified, and revisit them as data accumulates.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Re-run the scorecard each release.</w:t>
      </w:r>
      <w:r>
        <w:t xml:space="preserve"> </w:t>
      </w:r>
      <w:r>
        <w:t xml:space="preserve">The rows do not move; the answers do.</w:t>
      </w:r>
    </w:p>
    <w:p>
      <w:r>
        <w:pict>
          <v:rect style="width:0;height:1.5pt" o:hralign="center" o:hrstd="t" o:hr="t"/>
        </w:pict>
      </w:r>
    </w:p>
    <w:bookmarkEnd w:id="16"/>
    <w:bookmarkStart w:id="25" w:name="the-rubric-two-tiers-weighted-unequally"/>
    <w:p>
      <w:pPr>
        <w:pStyle w:val="Heading2"/>
      </w:pPr>
      <w:r>
        <w:t xml:space="preserve">The rubric: two tiers, weighted unequally</w:t>
      </w:r>
    </w:p>
    <w:p>
      <w:pPr>
        <w:pStyle w:val="FirstParagraph"/>
      </w:pPr>
      <w:r>
        <w:rPr>
          <w:b/>
          <w:bCs/>
        </w:rPr>
        <w:t xml:space="preserve">Rule: Tier 1 decides; Tier 2 starts conversations.</w:t>
      </w:r>
      <w:r>
        <w:t xml:space="preserve"> </w:t>
      </w:r>
      <w:r>
        <w:t xml:space="preserve">A codebase is judged by the</w:t>
      </w:r>
      <w:r>
        <w:t xml:space="preserve"> </w:t>
      </w:r>
      <w:r>
        <w:rPr>
          <w:b/>
          <w:bCs/>
        </w:rPr>
        <w:t xml:space="preserve">composite</w:t>
      </w:r>
      <w:r>
        <w:t xml:space="preserve">,</w:t>
      </w:r>
      <w:r>
        <w:t xml:space="preserve"> </w:t>
      </w:r>
      <w:r>
        <w:t xml:space="preserve">never by any single row. A strong Tier 2 does not compensate for a missing Tier 1 row, and a weak</w:t>
      </w:r>
      <w:r>
        <w:t xml:space="preserve"> </w:t>
      </w:r>
      <w:r>
        <w:t xml:space="preserve">Tier 2 row is not a finding on its own.</w:t>
      </w:r>
    </w:p>
    <w:p>
      <w:pPr>
        <w:pStyle w:val="BodyText"/>
      </w:pPr>
      <w:r>
        <w:t xml:space="preserve">The structural scaffold is a recognized product-quality model rather than invented categories.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ISO/IEC 25010:2023 decomposes maintainability into modularity, reusability,</w:t>
      </w:r>
      <w:r>
        <w:t xml:space="preserve"> </w:t>
      </w:r>
      <w:r>
        <w:t xml:space="preserve">analyzability, modifiability and testability -- in other words low coupling plus information hiding.</w:t>
      </w:r>
      <w:r>
        <w:t xml:space="preserve"> </w:t>
      </w:r>
      <w:r>
        <w:t xml:space="preserve">That is a structural property and not a metric score. Tier 1 is that property enforced as</w:t>
      </w:r>
      <w:r>
        <w:t xml:space="preserve"> </w:t>
      </w:r>
      <w:r>
        <w:t xml:space="preserve">machine-checked architectural rules.</w:t>
      </w:r>
    </w:p>
    <w:bookmarkStart w:id="18" w:name="Xdf0793991d883bd530aac2d56d0ebf2a958f241"/>
    <w:p>
      <w:pPr>
        <w:pStyle w:val="Heading3"/>
      </w:pPr>
      <w:r>
        <w:t xml:space="preserve">Tier 1 -- durable controls, which carry the verdict</w:t>
      </w:r>
    </w:p>
    <w:p>
      <w:pPr>
        <w:pStyle w:val="FirstParagraph"/>
      </w:pPr>
      <w:r>
        <w:t xml:space="preserve">These are structural, machine-enforceable properties where quality is hard to fake.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What it asks</w:t>
            </w:r>
          </w:p>
        </w:tc>
        <w:tc>
          <w:tcPr/>
          <w:p>
            <w:pPr>
              <w:pStyle w:val="Compact"/>
            </w:pPr>
            <w:r>
              <w:t xml:space="preserve">Gate type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Enforced architecture boundaries</w:t>
            </w:r>
          </w:p>
        </w:tc>
        <w:tc>
          <w:tcPr/>
          <w:p>
            <w:pPr>
              <w:pStyle w:val="Compact"/>
            </w:pPr>
            <w:r>
              <w:t xml:space="preserve">Are module and layer rules machine-checked in the pipeline, rather than documented?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Strict type checking</w:t>
            </w:r>
          </w:p>
        </w:tc>
        <w:tc>
          <w:tcPr/>
          <w:p>
            <w:pPr>
              <w:pStyle w:val="Compact"/>
            </w:pPr>
            <w:r>
              <w:t xml:space="preserve">Is the strictest available mode on, with no blanket suppressions -- every suppression carrying its error code?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Tests verify behavior</w:t>
            </w:r>
          </w:p>
        </w:tc>
        <w:tc>
          <w:tcPr/>
          <w:p>
            <w:pPr>
              <w:pStyle w:val="Compact"/>
            </w:pPr>
            <w:r>
              <w:t xml:space="preserve">Do tests assert real values and failure paths, rather than mock choreography?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Your test standard;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Dependency integrity</w:t>
            </w:r>
          </w:p>
        </w:tc>
        <w:tc>
          <w:tcPr/>
          <w:p>
            <w:pPr>
              <w:pStyle w:val="Compact"/>
            </w:pPr>
            <w:r>
              <w:t xml:space="preserve">Is every dependency existence-verified, hash-locked, and is a new import audited?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Your dependency standard; pointer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Security scanning plus a threat model</w:t>
            </w:r>
          </w:p>
        </w:tc>
        <w:tc>
          <w:tcPr/>
          <w:p>
            <w:pPr>
              <w:pStyle w:val="Compact"/>
            </w:pPr>
            <w:r>
              <w:t xml:space="preserve">Are the scanners blocking, and is there a written threat model and a human review step?</w:t>
            </w:r>
          </w:p>
        </w:tc>
        <w:tc>
          <w:tcPr/>
          <w:p>
            <w:pPr>
              <w:pStyle w:val="Compact"/>
            </w:pPr>
            <w:r>
              <w:t xml:space="preserve">Deterministic plus advisory</w:t>
            </w:r>
          </w:p>
        </w:tc>
        <w:tc>
          <w:tcPr/>
          <w:p>
            <w:pPr>
              <w:pStyle w:val="Compact"/>
            </w:pPr>
            <w:r>
              <w:t xml:space="preserve">Your security standard; pointer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Published-artifact integrity</w:t>
            </w:r>
          </w:p>
        </w:tc>
        <w:tc>
          <w:tcPr/>
          <w:p>
            <w:pPr>
              <w:pStyle w:val="Compact"/>
            </w:pPr>
            <w:r>
              <w:t xml:space="preserve">Does a released package ship only intended content, gated before the irreversible upload?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</w:tbl>
    <w:p>
      <w:pPr>
        <w:pStyle w:val="BodyText"/>
      </w:pPr>
      <w:r>
        <w:rPr>
          <w:b/>
          <w:bCs/>
        </w:rPr>
        <w:t xml:space="preserve">Row 6 is the outbound direction of the supply chain</w:t>
      </w:r>
      <w:r>
        <w:t xml:space="preserve">, distinct from row 4's inbound direction.</w:t>
      </w:r>
      <w:r>
        <w:t xml:space="preserve"> </w:t>
      </w:r>
      <w:r>
        <w:t xml:space="preserve">The rule and its failure shape are already published: see</w:t>
      </w:r>
      <w:r>
        <w:t xml:space="preserve"> </w:t>
      </w:r>
      <w:hyperlink r:id="rId17">
        <w:r>
          <w:rPr>
            <w:rStyle w:val="Hyperlink"/>
          </w:rPr>
          <w:t xml:space="preserve">Package manifests are allowlists, not sweeps</w:t>
        </w:r>
      </w:hyperlink>
      <w:r>
        <w:t xml:space="preserve">.</w:t>
      </w:r>
      <w:r>
        <w:t xml:space="preserve"> </w:t>
      </w:r>
      <w:r>
        <w:t xml:space="preserve">One instance worth naming: material a project treats as withheld can travel inside a published</w:t>
      </w:r>
      <w:r>
        <w:t xml:space="preserve"> </w:t>
      </w:r>
      <w:r>
        <w:t xml:space="preserve">distribution without anyone reviewing the packaging list.</w:t>
      </w:r>
    </w:p>
    <w:bookmarkEnd w:id="18"/>
    <w:bookmarkStart w:id="19" w:name="Xea2df85c5e482f5571f2487a3906895dabb3781"/>
    <w:p>
      <w:pPr>
        <w:pStyle w:val="Heading3"/>
      </w:pPr>
      <w:r>
        <w:t xml:space="preserve">Tier 2 -- the measurement layer, which is guidance and triage</w:t>
      </w:r>
    </w:p>
    <w:p>
      <w:pPr>
        <w:pStyle w:val="FirstParagraph"/>
      </w:pPr>
      <w:r>
        <w:t xml:space="preserve">Each of these is a weak or gameable predictor in isolation.</w:t>
      </w:r>
      <w:r>
        <w:t xml:space="preserve"> </w:t>
      </w:r>
      <w:r>
        <w:rPr>
          <w:b/>
          <w:bCs/>
        </w:rPr>
        <w:t xml:space="preserve">None is a gate on its own</w:t>
      </w:r>
      <w:r>
        <w:t xml:space="preserve">: they</w:t>
      </w:r>
      <w:r>
        <w:t xml:space="preserve"> </w:t>
      </w:r>
      <w:r>
        <w:t xml:space="preserve">inform review, and they do not certify anything.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What it asks</w:t>
            </w:r>
          </w:p>
        </w:tc>
        <w:tc>
          <w:tcPr/>
          <w:p>
            <w:pPr>
              <w:pStyle w:val="Compact"/>
            </w:pPr>
            <w:r>
              <w:t xml:space="preserve">Gate type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Test-signal proof</w:t>
            </w:r>
          </w:p>
        </w:tc>
        <w:tc>
          <w:tcPr/>
          <w:p>
            <w:pPr>
              <w:pStyle w:val="Compact"/>
            </w:pPr>
            <w:r>
              <w:t xml:space="preserve">Does mutation on changed code expose tests that assert little?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Coverage visibility</w:t>
            </w:r>
          </w:p>
        </w:tc>
        <w:tc>
          <w:tcPr/>
          <w:p>
            <w:pPr>
              <w:pStyle w:val="Compact"/>
            </w:pPr>
            <w:r>
              <w:t xml:space="preserve">Is coverage reported on the changed lines, as guidance, never as a repository percentage gate?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Duplication and reuse</w:t>
            </w:r>
          </w:p>
        </w:tc>
        <w:tc>
          <w:tcPr/>
          <w:p>
            <w:pPr>
              <w:pStyle w:val="Compact"/>
            </w:pPr>
            <w:r>
              <w:t xml:space="preserve">Is new copy-paste flagged on the diff, with justified parity whitelisted?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Lint breadth</w:t>
            </w:r>
          </w:p>
        </w:tc>
        <w:tc>
          <w:tcPr/>
          <w:p>
            <w:pPr>
              <w:pStyle w:val="Compact"/>
            </w:pPr>
            <w:r>
              <w:t xml:space="preserve">Is a broad static-analysis ruleset enforced, from a clean baseline?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Complexity triage</w:t>
            </w:r>
          </w:p>
        </w:tc>
        <w:tc>
          <w:tcPr/>
          <w:p>
            <w:pPr>
              <w:pStyle w:val="Compact"/>
            </w:pPr>
            <w:r>
              <w:t xml:space="preserve">Are genuinely large units surfaced for a human to look at?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</w:tbl>
    <w:bookmarkEnd w:id="19"/>
    <w:bookmarkStart w:id="22" w:name="the-anti-metric-rule-hard"/>
    <w:p>
      <w:pPr>
        <w:pStyle w:val="Heading3"/>
      </w:pPr>
      <w:r>
        <w:t xml:space="preserve">The anti-metric rule (hard)</w:t>
      </w:r>
    </w:p>
    <w:p>
      <w:pPr>
        <w:pStyle w:val="FirstParagraph"/>
      </w:pPr>
      <w:r>
        <w:rPr>
          <w:b/>
          <w:bCs/>
        </w:rPr>
        <w:t xml:space="preserve">Do not certify quality -- or fail a build -- on any single one of:</w:t>
      </w:r>
      <w:r>
        <w:t xml:space="preserve"> </w:t>
      </w:r>
      <w:r>
        <w:t xml:space="preserve">line-coverage percentage,</w:t>
      </w:r>
      <w:r>
        <w:t xml:space="preserve"> </w:t>
      </w:r>
      <w:r>
        <w:t xml:space="preserve">lines of code, raw or vendor "cognitive" cyclomatic complexity, or static-analysis severity counts.</w:t>
      </w:r>
      <w:r>
        <w:t xml:space="preserve"> </w:t>
      </w:r>
      <w:r>
        <w:t xml:space="preserve">Each may be surfaced as advisory triage a human arbitrates; none may ever be the quality gate.</w:t>
      </w:r>
    </w:p>
    <w:p>
      <w:pPr>
        <w:pStyle w:val="BodyText"/>
      </w:pPr>
      <w:r>
        <w:t xml:space="preserve">This is the quality-side analogue of</w:t>
      </w:r>
      <w:r>
        <w:t xml:space="preserve"> </w:t>
      </w:r>
      <w:r>
        <w:rPr>
          <w:i/>
          <w:iCs/>
        </w:rPr>
        <w:t xml:space="preserve">gates are deterministic checks, never ask the model to be</w:t>
      </w:r>
      <w:r>
        <w:rPr>
          <w:i/>
          <w:iCs/>
        </w:rPr>
        <w:t xml:space="preserve"> </w:t>
      </w:r>
      <w:r>
        <w:rPr>
          <w:i/>
          <w:iCs/>
        </w:rPr>
        <w:t xml:space="preserve">secure</w:t>
      </w:r>
      <w:r>
        <w:t xml:space="preserve">:</w:t>
      </w:r>
      <w:r>
        <w:t xml:space="preserve"> </w:t>
      </w:r>
      <w:r>
        <w:rPr>
          <w:b/>
          <w:bCs/>
        </w:rPr>
        <w:t xml:space="preserve">a scoreboard is never the verdict.</w:t>
      </w:r>
    </w:p>
    <w:p>
      <w:pPr>
        <w:pStyle w:val="BodyText"/>
      </w:pPr>
      <w:r>
        <w:t xml:space="preserve">The evidence table behind this rule already lives on this site, with each row tagged [external]:</w:t>
      </w:r>
      <w:r>
        <w:t xml:space="preserve"> </w:t>
      </w:r>
      <w:hyperlink r:id="rId20">
        <w:r>
          <w:rPr>
            <w:rStyle w:val="Hyperlink"/>
          </w:rPr>
          <w:t xml:space="preserve">Never gate on a single gameable number</w:t>
        </w:r>
      </w:hyperlink>
      <w:r>
        <w:t xml:space="preserve">.</w:t>
      </w:r>
      <w:r>
        <w:t xml:space="preserve"> </w:t>
      </w:r>
      <w:r>
        <w:t xml:space="preserve">So does the rule on judging tests:</w:t>
      </w:r>
      <w:r>
        <w:t xml:space="preserve"> </w:t>
      </w:r>
      <w:hyperlink r:id="rId21">
        <w:r>
          <w:rPr>
            <w:rStyle w:val="Hyperlink"/>
          </w:rPr>
          <w:t xml:space="preserve">Judge tests by their assertions, not their presence or their coverage</w:t>
        </w:r>
      </w:hyperlink>
      <w:r>
        <w:t xml:space="preserve">.</w:t>
      </w:r>
    </w:p>
    <w:p>
      <w:pPr>
        <w:pStyle w:val="BodyText"/>
      </w:pPr>
      <w:r>
        <w:t xml:space="preserve">The rule and its reasoning stay on that page. What follows is the bibliography behind it, with each</w:t>
      </w:r>
      <w:r>
        <w:t xml:space="preserve"> </w:t>
      </w:r>
      <w:r>
        <w:t xml:space="preserve">claim restated only far enough to attach its citation. That is the part you need when somebody who</w:t>
      </w:r>
      <w:r>
        <w:t xml:space="preserve"> </w:t>
      </w:r>
      <w:r>
        <w:t xml:space="preserve">disagrees asks where a number came from.</w:t>
      </w:r>
    </w:p>
    <w:bookmarkEnd w:id="22"/>
    <w:bookmarkStart w:id="24" w:name="X668fb8c38305a615bf1d327787eeaa82b7e1944"/>
    <w:p>
      <w:pPr>
        <w:pStyle w:val="Heading3"/>
      </w:pPr>
      <w:r>
        <w:t xml:space="preserve">Delivery-outcome metrics are a context caveat, not a signal</w:t>
      </w:r>
    </w:p>
    <w:p>
      <w:pPr>
        <w:pStyle w:val="FirstParagraph"/>
      </w:pPr>
      <w:r>
        <w:t xml:space="preserve">Keep change-failure rate, lead time and their siblings out of a code-quality rubric. They measure</w:t>
      </w:r>
      <w:r>
        <w:t xml:space="preserve"> </w:t>
      </w:r>
      <w:r>
        <w:t xml:space="preserve">delivery, not whether a given change is filler -- a different altitude from the artifact signals</w:t>
      </w:r>
      <w:r>
        <w:t xml:space="preserve"> </w:t>
      </w:r>
      <w:r>
        <w:t xml:space="preserve">above. The evidence for the machine-authorship link is also weaker than the evidence for the</w:t>
      </w:r>
      <w:r>
        <w:t xml:space="preserve"> </w:t>
      </w:r>
      <w:r>
        <w:t xml:space="preserve">metric-validity findings.</w:t>
      </w:r>
    </w:p>
    <w:p>
      <w:pPr>
        <w:pStyle w:val="BodyText"/>
      </w:pPr>
      <w:r>
        <w:t xml:space="preserve">The actionable part is already covered by small batches and</w:t>
      </w:r>
      <w:r>
        <w:t xml:space="preserve"> </w:t>
      </w:r>
      <w:hyperlink r:id="rId23">
        <w:r>
          <w:rPr>
            <w:rStyle w:val="Hyperlink"/>
          </w:rPr>
          <w:t xml:space="preserve">One coherent layer per commit</w:t>
        </w:r>
      </w:hyperlink>
      <w:r>
        <w:t xml:space="preserve">. Record the</w:t>
      </w:r>
      <w:r>
        <w:t xml:space="preserve"> </w:t>
      </w:r>
      <w:r>
        <w:t xml:space="preserve">concern as a failure mode with a remedy; do not promote it to a peer signal.</w:t>
      </w:r>
    </w:p>
    <w:p>
      <w:pPr>
        <w:pStyle w:val="BodyText"/>
      </w:pPr>
      <w:r>
        <w:t xml:space="preserve">The reason generalizes:</w:t>
      </w:r>
      <w:r>
        <w:t xml:space="preserve"> </w:t>
      </w:r>
      <w:r>
        <w:rPr>
          <w:b/>
          <w:bCs/>
        </w:rPr>
        <w:t xml:space="preserve">when someone proposes adding an outcome metric to an artifact rubric,</w:t>
      </w:r>
      <w:r>
        <w:rPr>
          <w:b/>
          <w:bCs/>
        </w:rPr>
        <w:t xml:space="preserve"> </w:t>
      </w:r>
      <w:r>
        <w:rPr>
          <w:b/>
          <w:bCs/>
        </w:rPr>
        <w:t xml:space="preserve">the objection is altitude, not distaste.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8" w:name="X641036d7ccef56f59522485bce101f37c7c47f3"/>
    <w:p>
      <w:pPr>
        <w:pStyle w:val="Heading2"/>
      </w:pPr>
      <w:r>
        <w:t xml:space="preserve">The evidence, and the hedge each citation must carry</w:t>
      </w:r>
    </w:p>
    <w:p>
      <w:pPr>
        <w:pStyle w:val="FirstParagraph"/>
      </w:pPr>
      <w:r>
        <w:t xml:space="preserve">Every row is</w:t>
      </w:r>
      <w:r>
        <w:t xml:space="preserve"> </w:t>
      </w:r>
      <w:r>
        <w:rPr>
          <w:b/>
          <w:bCs/>
        </w:rPr>
        <w:t xml:space="preserve">[external]</w:t>
      </w:r>
      <w:r>
        <w:t xml:space="preserve">. Attach the limitation to the claim at the point of use, never in a</w:t>
      </w:r>
      <w:r>
        <w:t xml:space="preserve"> </w:t>
      </w:r>
      <w:r>
        <w:t xml:space="preserve">footnote a reader can skip.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Claim</w:t>
            </w:r>
          </w:p>
        </w:tc>
        <w:tc>
          <w:tcPr/>
          <w:p>
            <w:pPr>
              <w:pStyle w:val="Compact"/>
            </w:pPr>
            <w:r>
              <w:t xml:space="preserve">What the evidence says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The hedge that travels with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Raw cyclomatic complexity is a weak defect predictor</w:t>
            </w:r>
          </w:p>
        </w:tc>
        <w:tc>
          <w:tcPr/>
          <w:p>
            <w:pPr>
              <w:pStyle w:val="Compact"/>
            </w:pPr>
            <w:r>
              <w:t xml:space="preserve">Correlation with real bugs of about</w:t>
            </w:r>
            <w:r>
              <w:t xml:space="preserve"> </w:t>
            </w:r>
            <w:r>
              <w:rPr>
                <w:b/>
                <w:bCs/>
              </w:rPr>
              <w:t xml:space="preserve">0.06</w:t>
            </w:r>
            <w:r>
              <w:t xml:space="preserve"> </w:t>
            </w:r>
            <w:r>
              <w:t xml:space="preserve">(Kendall); "adds little if any" beyond executable-line counts</w:t>
            </w:r>
          </w:p>
        </w:tc>
        <w:tc>
          <w:tcPr/>
          <w:p>
            <w:pPr>
              <w:pStyle w:val="Compact"/>
            </w:pPr>
            <w:r>
              <w:t xml:space="preserve">Chen, C. (2019).</w:t>
            </w:r>
            <w:r>
              <w:t xml:space="preserve"> </w:t>
            </w:r>
            <w:r>
              <w:rPr>
                <w:i/>
                <w:iCs/>
              </w:rPr>
              <w:t xml:space="preserve">An Empirical Investigation of Correlation between Code Complexity and Bugs.</w:t>
            </w:r>
            <w:r>
              <w:t xml:space="preserve"> </w:t>
            </w:r>
            <w:r>
              <w:t xml:space="preserve">arXiv:1912.01142 [cs.SE].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https://arxiv.org/abs/1912.01142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Argues against a single-number gate, not against measuring. Complexity is still a useful local triage smell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 "cognitive complexity" adds nothing</w:t>
            </w:r>
          </w:p>
        </w:tc>
        <w:tc>
          <w:tcPr/>
          <w:p>
            <w:pPr>
              <w:pStyle w:val="Compact"/>
            </w:pPr>
            <w:r>
              <w:t xml:space="preserve">No incremental predictive value over traditional measures; the peer-reviewed evaluation concludes it "does not appear to fulfill the promise"</w:t>
            </w:r>
          </w:p>
        </w:tc>
        <w:tc>
          <w:tcPr/>
          <w:p>
            <w:pPr>
              <w:pStyle w:val="Compact"/>
            </w:pPr>
            <w:r>
              <w:t xml:space="preserve">Lavazza, L., Abualkishik, A. Z., Liu, G., &amp; Morasca, S. (2023).</w:t>
            </w:r>
            <w:r>
              <w:t xml:space="preserve"> </w:t>
            </w:r>
            <w:r>
              <w:rPr>
                <w:i/>
                <w:iCs/>
              </w:rPr>
              <w:t xml:space="preserve">An Empirical Evaluation of the "Cognitive Complexity" Measure as a Predictor of Code Understandability.</w:t>
            </w:r>
            <w:r>
              <w:t xml:space="preserve"> </w:t>
            </w:r>
            <w:r>
              <w:t xml:space="preserve">Journal of Systems and Software, 197, 111561.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https://doi.org/10.1016/j.jss.2022.111561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Replacing a cyclomatic gate with a cognitive one buys nothing. The finding is about predictive value, and says nothing about how often the measure is sold or adopted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Static-analysis severity counts are weak, inconsistent, sometimes inverted</w:t>
            </w:r>
          </w:p>
        </w:tc>
        <w:tc>
          <w:tcPr/>
          <w:p>
            <w:pPr>
              <w:pStyle w:val="Compact"/>
            </w:pPr>
            <w:r>
              <w:t xml:space="preserve">Across 33 large projects and roughly 27,000 faults, flagged "dirty" classes were no more fault-prone than clean ones</w:t>
            </w:r>
          </w:p>
        </w:tc>
        <w:tc>
          <w:tcPr/>
          <w:p>
            <w:pPr>
              <w:pStyle w:val="Compact"/>
            </w:pPr>
            <w:r>
              <w:t xml:space="preserve">Lenarduzzi, V., Saarimaki, N., &amp; Taibi, D. (2020).</w:t>
            </w:r>
            <w:r>
              <w:t xml:space="preserve"> </w:t>
            </w:r>
            <w:r>
              <w:rPr>
                <w:i/>
                <w:iCs/>
              </w:rPr>
              <w:t xml:space="preserve">Some SonarQube issues have a significant but small effect on faults and changes: A large-scale empirical study.</w:t>
            </w:r>
            <w:r>
              <w:t xml:space="preserve"> </w:t>
            </w:r>
            <w:r>
              <w:t xml:space="preserve">Journal of Systems and Software, 170, 110750.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https://arxiv.org/abs/1908.11590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Effects are small and sometimes inverted. Useful as a cheap filter; not a quality score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score is a poor single number, but mutation testing is high-value guidance</w:t>
            </w:r>
          </w:p>
        </w:tc>
        <w:tc>
          <w:tcPr/>
          <w:p>
            <w:pPr>
              <w:pStyle w:val="Compact"/>
            </w:pPr>
            <w:r>
              <w:t xml:space="preserve">Mostly a test-suite-size artifact as a linear proxy; top-decile suites catch</w:t>
            </w:r>
            <w:r>
              <w:t xml:space="preserve"> </w:t>
            </w:r>
            <w:r>
              <w:rPr>
                <w:b/>
                <w:bCs/>
              </w:rPr>
              <w:t xml:space="preserve">8 to 46 percent</w:t>
            </w:r>
            <w:r>
              <w:t xml:space="preserve"> </w:t>
            </w:r>
            <w:r>
              <w:t xml:space="preserve">more real faults</w:t>
            </w:r>
          </w:p>
        </w:tc>
        <w:tc>
          <w:tcPr/>
          <w:p>
            <w:pPr>
              <w:pStyle w:val="Compact"/>
            </w:pPr>
            <w:r>
              <w:t xml:space="preserve">Papadakis, M., Shin, D., Yoo, S., &amp; Bae, D.-H. (2018).</w:t>
            </w:r>
            <w:r>
              <w:t xml:space="preserve"> </w:t>
            </w:r>
            <w:r>
              <w:rPr>
                <w:i/>
                <w:iCs/>
              </w:rPr>
              <w:t xml:space="preserve">Are Mutation Scores Correlated with Real Fault Detection? A Large Scale Empirical Study on the Relationship Between Mutants and Real Faults.</w:t>
            </w:r>
            <w:r>
              <w:t xml:space="preserve"> </w:t>
            </w:r>
            <w:r>
              <w:t xml:space="preserve">ICSE 2018.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https://doi.org/10.1145/3180155.3180183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Read the survivors; never publish the score as a grade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 line coverage is where weak assertions hide</w:t>
            </w:r>
          </w:p>
        </w:tc>
        <w:tc>
          <w:tcPr/>
          <w:p>
            <w:pPr>
              <w:pStyle w:val="Compact"/>
            </w:pPr>
            <w:r>
              <w:t xml:space="preserve">Coverage is gameable: high coverage with weak assertions is the canonical hiding place, and line count measures size, not quality</w:t>
            </w:r>
          </w:p>
        </w:tc>
        <w:tc>
          <w:tcPr/>
          <w:p>
            <w:pPr>
              <w:pStyle w:val="Compact"/>
            </w:pPr>
            <w:r>
              <w:t xml:space="preserve">Corollary of the mutation and complexity findings above, not an independent study -- carry that hedge</w:t>
            </w:r>
          </w:p>
        </w:tc>
        <w:tc>
          <w:tcPr/>
          <w:p>
            <w:pPr>
              <w:pStyle w:val="Compact"/>
            </w:pPr>
            <w:r>
              <w:t xml:space="preserve">The replacement is diff-scoped visibility, not a repository percentage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Assisted authors write less secure code while feeling more confident</w:t>
            </w:r>
          </w:p>
        </w:tc>
        <w:tc>
          <w:tcPr/>
          <w:p>
            <w:pPr>
              <w:pStyle w:val="Compact"/>
            </w:pPr>
            <w:r>
              <w:t xml:space="preserve">A controlled study found assisted developers wrote less secure code yet were more confident it was secure</w:t>
            </w:r>
          </w:p>
        </w:tc>
        <w:tc>
          <w:tcPr/>
          <w:p>
            <w:pPr>
              <w:pStyle w:val="Compact"/>
            </w:pPr>
            <w:r>
              <w:t xml:space="preserve">Perry, N., Srivastava, M., Kumar, D., &amp; Boneh, D. (2023).</w:t>
            </w:r>
            <w:r>
              <w:t xml:space="preserve"> </w:t>
            </w:r>
            <w:r>
              <w:rPr>
                <w:i/>
                <w:iCs/>
              </w:rPr>
              <w:t xml:space="preserve">Do Users Write More Insecure Code with AI Assistants?</w:t>
            </w:r>
            <w:r>
              <w:t xml:space="preserve"> </w:t>
            </w:r>
            <w:r>
              <w:t xml:space="preserve">ACM CCS 2023. arXiv:2211.03622.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https://arxiv.org/abs/2211.03622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Model-era-specific: the study used a 2022-generation model. Frontier models plausibly perform better -- re-baseline rather than quoting it as a constant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Copy-instead-of-abstract is a measurable trend</w:t>
            </w:r>
          </w:p>
        </w:tc>
        <w:tc>
          <w:tcPr/>
          <w:p>
            <w:pPr>
              <w:pStyle w:val="Compact"/>
            </w:pPr>
            <w:r>
              <w:t xml:space="preserve">2024 was the first year copy-pasted lines (12.3 percent) exceeded "moved" or refactored lines (9.5 percent) in one commercial telemetry set</w:t>
            </w:r>
          </w:p>
        </w:tc>
        <w:tc>
          <w:tcPr/>
          <w:p>
            <w:pPr>
              <w:pStyle w:val="Compact"/>
            </w:pPr>
            <w:r>
              <w:t xml:space="preserve">GitClear (2025).</w:t>
            </w:r>
            <w:r>
              <w:t xml:space="preserve"> </w:t>
            </w:r>
            <w:r>
              <w:rPr>
                <w:i/>
                <w:iCs/>
              </w:rPr>
              <w:t xml:space="preserve">AI Copilot Code Quality 2025.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https://www.gitclear.com/ai_assistant_code_quality_2025_research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Descriptively solid; the machine-authorship attribution is correlational, from a commercial vendor using a proprietary "moved" heuristic, and confounded by hiring cycles. Treat the trend as real and the attribution as interpretation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Delivery stability moved with adoption</w:t>
            </w:r>
          </w:p>
        </w:tc>
        <w:tc>
          <w:tcPr/>
          <w:p>
            <w:pPr>
              <w:pStyle w:val="Compact"/>
            </w:pPr>
            <w:r>
              <w:t xml:space="preserve">Adoption associated with roughly 7.2 percent lower delivery stability per 25 percent adoption</w:t>
            </w:r>
          </w:p>
        </w:tc>
        <w:tc>
          <w:tcPr/>
          <w:p>
            <w:pPr>
              <w:pStyle w:val="Compact"/>
            </w:pPr>
            <w:r>
              <w:t xml:space="preserve">Google Cloud / DORA (2024).</w:t>
            </w:r>
            <w:r>
              <w:t xml:space="preserve"> </w:t>
            </w:r>
            <w:r>
              <w:rPr>
                <w:i/>
                <w:iCs/>
              </w:rPr>
              <w:t xml:space="preserve">Accelerate State of DevOps Report 2024.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https://dora.dev/research/2024/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Associational, and partly revised the following year. This is why it is a context caveat and not a signal</w:t>
            </w:r>
          </w:p>
        </w:tc>
      </w:tr>
    </w:tbl>
    <w:p>
      <w:pPr>
        <w:pStyle w:val="BodyText"/>
      </w:pPr>
      <w:r>
        <w:t xml:space="preserve">Two further figures are already carried on this site with their hedges: the published-research</w:t>
      </w:r>
      <w:r>
        <w:t xml:space="preserve"> </w:t>
      </w:r>
      <w:r>
        <w:t xml:space="preserve">figure on package hallucination, and the controlled trial on developer speed. Do not restate either.</w:t>
      </w:r>
      <w:r>
        <w:t xml:space="preserve"> </w:t>
      </w:r>
      <w:r>
        <w:t xml:space="preserve">Link to</w:t>
      </w:r>
      <w:r>
        <w:t xml:space="preserve"> </w:t>
      </w:r>
      <w:hyperlink r:id="rId33">
        <w:r>
          <w:rPr>
            <w:rStyle w:val="Hyperlink"/>
          </w:rPr>
          <w:t xml:space="preserve">Verify a dependency before adding it, and know what verification cannot see</w:t>
        </w:r>
      </w:hyperlink>
      <w:r>
        <w:t xml:space="preserve"> </w:t>
      </w:r>
      <w:r>
        <w:t xml:space="preserve">and to the section on not claiming an unmeasured gain.</w:t>
      </w:r>
    </w:p>
    <w:bookmarkStart w:id="34" w:name="the-six-caveats-as-one-carried-set"/>
    <w:p>
      <w:pPr>
        <w:pStyle w:val="Heading3"/>
      </w:pPr>
      <w:r>
        <w:t xml:space="preserve">The six caveats, as one carried set</w:t>
      </w:r>
    </w:p>
    <w:p>
      <w:pPr>
        <w:pStyle w:val="Compact"/>
        <w:numPr>
          <w:ilvl w:val="0"/>
          <w:numId w:val="1003"/>
        </w:numPr>
      </w:pPr>
      <w:r>
        <w:t xml:space="preserve">The metric-invalidation findings are robust peer-reviewed results, but they are</w:t>
      </w:r>
      <w:r>
        <w:t xml:space="preserve"> </w:t>
      </w:r>
      <w:r>
        <w:t xml:space="preserve">"this-metric-is-weak-</w:t>
      </w:r>
      <w:r>
        <w:rPr>
          <w:b/>
          <w:bCs/>
        </w:rPr>
        <w:t xml:space="preserve">alone</w:t>
      </w:r>
      <w:r>
        <w:t xml:space="preserve">" results. They argue against single-number gates, not against</w:t>
      </w:r>
      <w:r>
        <w:t xml:space="preserve"> </w:t>
      </w:r>
      <w:r>
        <w:t xml:space="preserve">measurement.</w:t>
      </w:r>
    </w:p>
    <w:p>
      <w:pPr>
        <w:pStyle w:val="Compact"/>
        <w:numPr>
          <w:ilvl w:val="0"/>
          <w:numId w:val="1003"/>
        </w:numPr>
      </w:pPr>
      <w:r>
        <w:t xml:space="preserve">The duplication trend is descriptively solid; the causal attribution is correlational,</w:t>
      </w:r>
      <w:r>
        <w:t xml:space="preserve"> </w:t>
      </w:r>
      <w:r>
        <w:t xml:space="preserve">vendor-sourced and confounded.</w:t>
      </w:r>
    </w:p>
    <w:p>
      <w:pPr>
        <w:pStyle w:val="Compact"/>
        <w:numPr>
          <w:ilvl w:val="0"/>
          <w:numId w:val="1003"/>
        </w:numPr>
      </w:pPr>
      <w:r>
        <w:t xml:space="preserve">Several findings about machine-authored code are model-era-specific. Re-baseline them rather</w:t>
      </w:r>
      <w:r>
        <w:t xml:space="preserve"> </w:t>
      </w:r>
      <w:r>
        <w:t xml:space="preserve">than quoting them as constants.</w:t>
      </w:r>
    </w:p>
    <w:p>
      <w:pPr>
        <w:pStyle w:val="Compact"/>
        <w:numPr>
          <w:ilvl w:val="0"/>
          <w:numId w:val="1003"/>
        </w:numPr>
      </w:pPr>
      <w:r>
        <w:t xml:space="preserve">A share-of-distinct-items figure is not a per-occurrence rate. The per-occurrence rate is far</w:t>
      </w:r>
      <w:r>
        <w:t xml:space="preserve"> </w:t>
      </w:r>
      <w:r>
        <w:t xml:space="preserve">lower, because the common cases are never the failing ones.</w:t>
      </w:r>
    </w:p>
    <w:p>
      <w:pPr>
        <w:pStyle w:val="Compact"/>
        <w:numPr>
          <w:ilvl w:val="0"/>
          <w:numId w:val="1003"/>
        </w:numPr>
      </w:pPr>
      <w:r>
        <w:t xml:space="preserve">The delivery-outcome finding is associational and was partly revised the following year.</w:t>
      </w:r>
    </w:p>
    <w:p>
      <w:pPr>
        <w:pStyle w:val="Compact"/>
        <w:numPr>
          <w:ilvl w:val="0"/>
          <w:numId w:val="1003"/>
        </w:numPr>
      </w:pPr>
      <w:r>
        <w:t xml:space="preserve">No source supplies a validated single-metric certification threshold.</w:t>
      </w:r>
    </w:p>
    <w:bookmarkEnd w:id="34"/>
    <w:bookmarkStart w:id="35" w:name="Xa40af3e358f88c7e758605cde008ec4497fb3c9"/>
    <w:p>
      <w:pPr>
        <w:pStyle w:val="Heading3"/>
      </w:pPr>
      <w:r>
        <w:t xml:space="preserve">What was refuted, published next to what survived</w:t>
      </w:r>
    </w:p>
    <w:p>
      <w:pPr>
        <w:pStyle w:val="FirstParagraph"/>
      </w:pPr>
      <w:r>
        <w:t xml:space="preserve">These widely circulated figures about machine-authored code were checked and dropped. Naming them is</w:t>
      </w:r>
      <w:r>
        <w:t xml:space="preserve"> </w:t>
      </w:r>
      <w:r>
        <w:t xml:space="preserve">part of the basis, because a reader can then check that the filter actually ran.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"About 40 percent of AI-generated programs contain security vulnerabilities."</w:t>
      </w:r>
      <w:r>
        <w:t xml:space="preserve"> </w:t>
      </w:r>
      <w:r>
        <w:t xml:space="preserve">An</w:t>
      </w:r>
      <w:r>
        <w:t xml:space="preserve"> </w:t>
      </w:r>
      <w:r>
        <w:t xml:space="preserve">over-simplified reading of a real study (Pearce et al.,</w:t>
      </w:r>
      <w:r>
        <w:t xml:space="preserve"> </w:t>
      </w:r>
      <w:r>
        <w:rPr>
          <w:i/>
          <w:iCs/>
        </w:rPr>
        <w:t xml:space="preserve">Asleep at the Keyboard</w:t>
      </w:r>
      <w:r>
        <w:t xml:space="preserve">, IEEE S&amp;P 2022,</w:t>
      </w:r>
      <w:r>
        <w:t xml:space="preserve"> </w:t>
      </w:r>
      <w:r>
        <w:t xml:space="preserve">arXiv:2108.09293). The study stands; the headline framing does not.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 "ten-fold surge in duplicate blocks" over two years.</w:t>
      </w:r>
      <w:r>
        <w:t xml:space="preserve"> </w:t>
      </w:r>
      <w:r>
        <w:t xml:space="preserve">Refuted unanimously.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"Copy-pasted lines rose 8.3 to 12.3 percent, about 48 percent."</w:t>
      </w:r>
      <w:r>
        <w:t xml:space="preserve"> </w:t>
      </w:r>
      <w:r>
        <w:t xml:space="preserve">Refuted unanimously.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"Moved operations fell 17 percent over two years."</w:t>
      </w:r>
      <w:r>
        <w:t xml:space="preserve"> </w:t>
      </w:r>
      <w:r>
        <w:t xml:space="preserve">Refuted unanimously; did not reconcile with</w:t>
      </w:r>
      <w:r>
        <w:t xml:space="preserve"> </w:t>
      </w:r>
      <w:r>
        <w:t xml:space="preserve">its own source.</w:t>
      </w:r>
    </w:p>
    <w:p>
      <w:pPr>
        <w:pStyle w:val="FirstParagraph"/>
      </w:pPr>
      <w:r>
        <w:t xml:space="preserve">The refuted claims came mostly from the trend-and-telemetry angle -- vendor material and secondary</w:t>
      </w:r>
      <w:r>
        <w:t xml:space="preserve"> </w:t>
      </w:r>
      <w:r>
        <w:t xml:space="preserve">blogs. So the rubric leans hardest on the peer-reviewed metric-validity studies and treats the trend</w:t>
      </w:r>
      <w:r>
        <w:t xml:space="preserve"> </w:t>
      </w:r>
      <w:r>
        <w:t xml:space="preserve">data as caveated context.</w:t>
      </w:r>
    </w:p>
    <w:bookmarkEnd w:id="35"/>
    <w:bookmarkStart w:id="37" w:name="X6c280cc635610efa1abd090d5319aee416f468b"/>
    <w:p>
      <w:pPr>
        <w:pStyle w:val="Heading3"/>
      </w:pPr>
      <w:r>
        <w:t xml:space="preserve">How to derive a rubric so it survives challenge</w:t>
      </w:r>
    </w:p>
    <w:p>
      <w:pPr>
        <w:pStyle w:val="FirstParagraph"/>
      </w:pPr>
      <w:r>
        <w:t xml:space="preserve">The method matters more than this particular rubric, because you will need your 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Decompose the question into distinct search angles</w:t>
      </w:r>
      <w:r>
        <w:t xml:space="preserve"> </w:t>
      </w:r>
      <w:r>
        <w:t xml:space="preserve">rather than one broad query: metric</w:t>
      </w:r>
      <w:r>
        <w:t xml:space="preserve"> </w:t>
      </w:r>
      <w:r>
        <w:t xml:space="preserve">validity; quality frameworks and delivery metrics; empirical trends; security and correctness</w:t>
      </w:r>
      <w:r>
        <w:t xml:space="preserve"> </w:t>
      </w:r>
      <w:r>
        <w:t xml:space="preserve">studies; practitioner controls.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Fan out in parallel</w:t>
      </w:r>
      <w:r>
        <w:t xml:space="preserve">, then put every load-bearing claim through</w:t>
      </w:r>
      <w:r>
        <w:t xml:space="preserve"> </w:t>
      </w:r>
      <w:r>
        <w:rPr>
          <w:b/>
          <w:bCs/>
        </w:rPr>
        <w:t xml:space="preserve">multi-reviewer refutation</w:t>
      </w:r>
      <w:r>
        <w:t xml:space="preserve"> </w:t>
      </w:r>
      <w:r>
        <w:t xml:space="preserve">where each reviewer tries to kill the claim and a majority of refutations does kill it. Only</w:t>
      </w:r>
      <w:r>
        <w:t xml:space="preserve"> </w:t>
      </w:r>
      <w:r>
        <w:t xml:space="preserve">survivors enter the rubric. In the pass behind this document, a few dozen sources produced a</w:t>
      </w:r>
      <w:r>
        <w:t xml:space="preserve"> </w:t>
      </w:r>
      <w:r>
        <w:t xml:space="preserve">large candidate set. Every load-bearing claim went to three-vote adversarial verification, and</w:t>
      </w:r>
      <w:r>
        <w:t xml:space="preserve"> </w:t>
      </w:r>
      <w:r>
        <w:t xml:space="preserve">the ones that could be killed were killed. The survivors are the citation table above; the</w:t>
      </w:r>
      <w:r>
        <w:t xml:space="preserve"> </w:t>
      </w:r>
      <w:r>
        <w:t xml:space="preserve">casualties are the refuted list above.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Anchor the structure to a recognized model</w:t>
      </w:r>
      <w:r>
        <w:t xml:space="preserve"> </w:t>
      </w:r>
      <w:r>
        <w:t xml:space="preserve">rather than inventing categories.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Score the reference project from a separate read-only audit</w:t>
      </w:r>
      <w:r>
        <w:t xml:space="preserve">, so the scorecard is evidence</w:t>
      </w:r>
      <w:r>
        <w:t xml:space="preserve"> </w:t>
      </w:r>
      <w:r>
        <w:t xml:space="preserve">rather than estimate.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Label every claim with its limitation as you carry it.</w:t>
      </w:r>
    </w:p>
    <w:p>
      <w:pPr>
        <w:pStyle w:val="FirstParagraph"/>
      </w:pPr>
      <w:r>
        <w:t xml:space="preserve">The general form of step 2 is already on this site as</w:t>
      </w:r>
      <w:r>
        <w:t xml:space="preserve"> </w:t>
      </w:r>
      <w:hyperlink r:id="rId36">
        <w:r>
          <w:rPr>
            <w:rStyle w:val="Hyperlink"/>
          </w:rPr>
          <w:t xml:space="preserve">Run a refutation pass on any number you are about to build a rule on</w:t>
        </w:r>
      </w:hyperlink>
      <w:r>
        <w:t xml:space="preserve">.</w:t>
      </w:r>
      <w:r>
        <w:t xml:space="preserve"> </w:t>
      </w:r>
      <w:r>
        <w:t xml:space="preserve">Worth adding here is the payoff: the claims that could be killed were killed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publication,</w:t>
      </w:r>
      <w:r>
        <w:t xml:space="preserve"> </w:t>
      </w:r>
      <w:r>
        <w:t xml:space="preserve">not after somebody challenged them. That is what makes the survivors worth citing.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failure-mode-control-owner"/>
    <w:p>
      <w:pPr>
        <w:pStyle w:val="Heading2"/>
      </w:pPr>
      <w:r>
        <w:t xml:space="preserve">Failure mode, control, owner</w:t>
      </w:r>
    </w:p>
    <w:p>
      <w:pPr>
        <w:pStyle w:val="FirstParagraph"/>
      </w:pPr>
      <w:r>
        <w:t xml:space="preserve">Write the rubric as a map from a failure mode to the specific machine-enforced control that</w:t>
      </w:r>
      <w:r>
        <w:t xml:space="preserve"> </w:t>
      </w:r>
      <w:r>
        <w:t xml:space="preserve">neutralizes it. Tag each control with the document that owns it.</w:t>
      </w:r>
    </w:p>
    <w:p>
      <w:pPr>
        <w:pStyle w:val="BodyText"/>
      </w:pPr>
      <w:r>
        <w:t xml:space="preserve">Where a companion already owns a control,</w:t>
      </w:r>
      <w:r>
        <w:t xml:space="preserve"> </w:t>
      </w:r>
      <w:r>
        <w:rPr>
          <w:b/>
          <w:bCs/>
        </w:rPr>
        <w:t xml:space="preserve">point at it and check only that it is present.</w:t>
      </w:r>
      <w:r>
        <w:t xml:space="preserve"> </w:t>
      </w:r>
      <w:r>
        <w:t xml:space="preserve">That</w:t>
      </w:r>
      <w:r>
        <w:t xml:space="preserve"> </w:t>
      </w:r>
      <w:r>
        <w:t xml:space="preserve">leaves this document owning exactly the gates nothing else carries. The failure modes worth mapping</w:t>
      </w:r>
      <w:r>
        <w:t xml:space="preserve"> </w:t>
      </w:r>
      <w:r>
        <w:t xml:space="preserve">include at least these.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Insecure output plus author overconfidence</w:t>
            </w:r>
          </w:p>
        </w:tc>
        <w:tc>
          <w:tcPr/>
          <w:p>
            <w:pPr>
              <w:pStyle w:val="Compact"/>
            </w:pPr>
            <w:r>
              <w:t xml:space="preserve">A human review step that cannot be waived, plus blocking static analysis</w:t>
            </w:r>
          </w:p>
        </w:tc>
        <w:tc>
          <w:tcPr/>
          <w:p>
            <w:pPr>
              <w:pStyle w:val="Compact"/>
            </w:pPr>
            <w:r>
              <w:t xml:space="preserve">Your security standard.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Hallucinated or typosquatted dependencies</w:t>
            </w:r>
          </w:p>
        </w:tc>
        <w:tc>
          <w:tcPr/>
          <w:p>
            <w:pPr>
              <w:pStyle w:val="Compact"/>
            </w:pPr>
            <w:r>
              <w:t xml:space="preserve">Verify-before-add, hash-locked pins, and an audit of every new import</w:t>
            </w:r>
          </w:p>
        </w:tc>
        <w:tc>
          <w:tcPr/>
          <w:p>
            <w:pPr>
              <w:pStyle w:val="Compact"/>
            </w:pPr>
            <w:r>
              <w:t xml:space="preserve">Your dependency standard.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Silent duplication in place of reuse</w:t>
            </w:r>
          </w:p>
        </w:tc>
        <w:tc>
          <w:tcPr/>
          <w:p>
            <w:pPr>
              <w:pStyle w:val="Compact"/>
            </w:pPr>
            <w:r>
              <w:t xml:space="preserve">Clone detection on the diff, plus a "moved versus copied" review lens with justified parity whitelisted</w:t>
            </w:r>
          </w:p>
        </w:tc>
        <w:tc>
          <w:tcPr/>
          <w:p>
            <w:pPr>
              <w:pStyle w:val="Compact"/>
            </w:pPr>
            <w:r>
              <w:t xml:space="preserve">Here, signal 9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Shallow tests that assert little</w:t>
            </w:r>
          </w:p>
        </w:tc>
        <w:tc>
          <w:tcPr/>
          <w:p>
            <w:pPr>
              <w:pStyle w:val="Compact"/>
            </w:pPr>
            <w:r>
              <w:t xml:space="preserve">Mutation on changed code, as guidance a human reads</w:t>
            </w:r>
          </w:p>
        </w:tc>
        <w:tc>
          <w:tcPr/>
          <w:p>
            <w:pPr>
              <w:pStyle w:val="Compact"/>
            </w:pPr>
            <w:r>
              <w:t xml:space="preserve">Here, signal 7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Unbounded complexity and over-abstraction</w:t>
            </w:r>
          </w:p>
        </w:tc>
        <w:tc>
          <w:tcPr/>
          <w:p>
            <w:pPr>
              <w:pStyle w:val="Compact"/>
            </w:pPr>
            <w:r>
              <w:t xml:space="preserve">Advisory complexity triage: surface, never gate</w:t>
            </w:r>
          </w:p>
        </w:tc>
        <w:tc>
          <w:tcPr/>
          <w:p>
            <w:pPr>
              <w:pStyle w:val="Compact"/>
            </w:pPr>
            <w:r>
              <w:t xml:space="preserve">Here, signal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Conventions drifting across a codebase written in many parallel sessions</w:t>
            </w:r>
          </w:p>
        </w:tc>
        <w:tc>
          <w:tcPr/>
          <w:p>
            <w:pPr>
              <w:pStyle w:val="Compact"/>
            </w:pPr>
            <w:r>
              <w:t xml:space="preserve">A broad lint ruleset, plus the always-loaded project instruction file as the standing convention anchor</w:t>
            </w:r>
          </w:p>
        </w:tc>
        <w:tc>
          <w:tcPr/>
          <w:p>
            <w:pPr>
              <w:pStyle w:val="Compact"/>
            </w:pPr>
            <w:r>
              <w:t xml:space="preserve">Here, signal 10, plus your working agreement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control implemented on one path and missed on its siblings</w:t>
            </w:r>
          </w:p>
        </w:tc>
        <w:tc>
          <w:tcPr/>
          <w:p>
            <w:pPr>
              <w:pStyle w:val="Compact"/>
            </w:pPr>
            <w:r>
              <w:t xml:space="preserve">Enumerate sibling paths for every control and encode the enumeration as one deterministic check where feasible</w:t>
            </w:r>
          </w:p>
        </w:tc>
        <w:tc>
          <w:tcPr/>
          <w:p>
            <w:pPr>
              <w:pStyle w:val="Compact"/>
            </w:pPr>
            <w:hyperlink r:id="rId39">
              <w:r>
                <w:rPr>
                  <w:rStyle w:val="Hyperlink"/>
                </w:rPr>
                <w:t xml:space="preserve">Enumerate sibling paths for every control</w:t>
              </w:r>
            </w:hyperlink>
            <w:r>
              <w:t xml:space="preserve">. Here, this is what signal 6 exists to catch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Velocity mistaken for delivered quality</w:t>
            </w:r>
          </w:p>
        </w:tc>
        <w:tc>
          <w:tcPr/>
          <w:p>
            <w:pPr>
              <w:pStyle w:val="Compact"/>
            </w:pPr>
            <w:r>
              <w:t xml:space="preserve">Small batches, one coherent layer per change</w:t>
            </w:r>
          </w:p>
        </w:tc>
        <w:tc>
          <w:tcPr/>
          <w:p>
            <w:pPr>
              <w:pStyle w:val="Compact"/>
            </w:pPr>
            <w:r>
              <w:t xml:space="preserve">Your working agreement. A context caveat, not a signal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When a new control is proposed, ask which failure mode it neutralizes. If the answer is</w:t>
      </w:r>
      <w:r>
        <w:t xml:space="preserve"> </w:t>
      </w:r>
      <w:r>
        <w:t xml:space="preserve">none, it is decoration. When a control is missing, the owner tag tells you which document to fix.</w:t>
      </w:r>
    </w:p>
    <w:p>
      <w:r>
        <w:pict>
          <v:rect style="width:0;height:1.5pt" o:hralign="center" o:hrstd="t" o:hr="t"/>
        </w:pict>
      </w:r>
    </w:p>
    <w:bookmarkEnd w:id="40"/>
    <w:bookmarkStart w:id="56" w:name="X4873c7bf06e912f32b8544c12adf4f299d0d8a2"/>
    <w:p>
      <w:pPr>
        <w:pStyle w:val="Heading2"/>
      </w:pPr>
      <w:r>
        <w:t xml:space="preserve">Where each gate belongs: the local loop, the pipeline, or both</w:t>
      </w:r>
    </w:p>
    <w:p>
      <w:pPr>
        <w:pStyle w:val="FirstParagraph"/>
      </w:pPr>
      <w:r>
        <w:t xml:space="preserve">Place a measurement gate by</w:t>
      </w:r>
      <w:r>
        <w:t xml:space="preserve"> </w:t>
      </w:r>
      <w:r>
        <w:rPr>
          <w:b/>
          <w:bCs/>
        </w:rPr>
        <w:t xml:space="preserve">cost</w:t>
      </w:r>
      <w:r>
        <w:t xml:space="preserve">, not by importance.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Gate class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Placement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Complexity triage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Local hook and pipeline</w:t>
            </w:r>
          </w:p>
        </w:tc>
        <w:tc>
          <w:tcPr/>
          <w:p>
            <w:pPr>
              <w:pStyle w:val="Compact"/>
            </w:pPr>
            <w:r>
              <w:t xml:space="preserve">Advisory only, never a hard gate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Broad lint ruleset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Local hook and the required pipeline leg</w:t>
            </w:r>
          </w:p>
        </w:tc>
        <w:tc>
          <w:tcPr/>
          <w:p>
            <w:pPr>
              <w:pStyle w:val="Compact"/>
            </w:pPr>
            <w:r>
              <w:t xml:space="preserve">Blocking, from a clean baseline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Clone detection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Pipeline advisory job</w:t>
            </w:r>
          </w:p>
        </w:tc>
        <w:tc>
          <w:tcPr/>
          <w:p>
            <w:pPr>
              <w:pStyle w:val="Compact"/>
            </w:pPr>
            <w:r>
              <w:t xml:space="preserve">Advisory: a finding, not a failure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Diff-scoped coverage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Pipeline, reporting on changed lines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on changed code</w:t>
            </w:r>
          </w:p>
        </w:tc>
        <w:tc>
          <w:tcPr/>
          <w:p>
            <w:pPr>
              <w:pStyle w:val="Compact"/>
            </w:pPr>
            <w:r>
              <w:t xml:space="preserve">Depends entirely on scope and on the tool actually running</w:t>
            </w:r>
          </w:p>
        </w:tc>
        <w:tc>
          <w:tcPr/>
          <w:p>
            <w:pPr>
              <w:pStyle w:val="Compact"/>
            </w:pPr>
            <w:r>
              <w:t xml:space="preserve">Pipeline, plus an opt-in local command</w:t>
            </w:r>
          </w:p>
        </w:tc>
        <w:tc>
          <w:tcPr/>
          <w:p>
            <w:pPr>
              <w:pStyle w:val="Compact"/>
            </w:pPr>
            <w:r>
              <w:t xml:space="preserve">Advisory guidance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Cheap checks run in both places. Expensive, diff-scoped analysis is pipeline-first,</w:t>
      </w:r>
      <w:r>
        <w:t xml:space="preserve"> </w:t>
      </w:r>
      <w:r>
        <w:t xml:space="preserve">because it is too slow for the inner loop. Each one must also be exposed as an opt-in local command</w:t>
      </w:r>
      <w:r>
        <w:t xml:space="preserve"> </w:t>
      </w:r>
      <w:r>
        <w:t xml:space="preserve">a maintainer can run on demand.</w:t>
      </w:r>
    </w:p>
    <w:p>
      <w:pPr>
        <w:pStyle w:val="BodyText"/>
      </w:pPr>
      <w:r>
        <w:rPr>
          <w:b/>
          <w:bCs/>
        </w:rPr>
        <w:t xml:space="preserve">The pipeline is authoritative in every case</w:t>
      </w:r>
      <w:r>
        <w:t xml:space="preserve">; local runs exist for fast feedback. The mechanics of</w:t>
      </w:r>
      <w:r>
        <w:t xml:space="preserve"> </w:t>
      </w:r>
      <w:r>
        <w:t xml:space="preserve">keeping those two invocations identical are already published:</w:t>
      </w:r>
      <w:r>
        <w:t xml:space="preserve"> </w:t>
      </w:r>
      <w:hyperlink r:id="rId41">
        <w:r>
          <w:rPr>
            <w:rStyle w:val="Hyperlink"/>
          </w:rPr>
          <w:t xml:space="preserve">One gate command, three call sites</w:t>
        </w:r>
      </w:hyperlink>
      <w:r>
        <w:t xml:space="preserve">.</w:t>
      </w:r>
    </w:p>
    <w:bookmarkStart w:id="42" w:name="Xeb9f02e76d351661f9e4cebb1184bc6cd5f8704"/>
    <w:p>
      <w:pPr>
        <w:pStyle w:val="Heading3"/>
      </w:pPr>
      <w:r>
        <w:t xml:space="preserve">Run an applying tool before the local check quartet, never after</w:t>
      </w:r>
    </w:p>
    <w:p>
      <w:pPr>
        <w:pStyle w:val="FirstParagraph"/>
      </w:pPr>
      <w:r>
        <w:t xml:space="preserve">Some review tools report findings for a person to arbitrate. Others apply their fixes directly. That</w:t>
      </w:r>
      <w:r>
        <w:t xml:space="preserve"> </w:t>
      </w:r>
      <w:r>
        <w:t xml:space="preserve">difference is not a matter of taste -- it decides where the tool belongs in your sequence, and</w:t>
      </w:r>
      <w:r>
        <w:t xml:space="preserve"> </w:t>
      </w:r>
      <w:r>
        <w:t xml:space="preserve">whether it is allowed to count for anything.</w:t>
      </w:r>
    </w:p>
    <w:p>
      <w:pPr>
        <w:pStyle w:val="BodyText"/>
      </w:pPr>
      <w:r>
        <w:t xml:space="preserve">A tool that rewrites code and runs after your lint, type and test run mutates the tree that run just</w:t>
      </w:r>
      <w:r>
        <w:t xml:space="preserve"> </w:t>
      </w:r>
      <w:r>
        <w:t xml:space="preserve">certified. Whatever the quartet told you is then true of code that no longer exists.</w:t>
      </w:r>
    </w:p>
    <w:p>
      <w:pPr>
        <w:pStyle w:val="BodyText"/>
      </w:pPr>
      <w:r>
        <w:t xml:space="preserve">Tools that only report are safe after the quartet, because they change nothing. The ordering is a</w:t>
      </w:r>
      <w:r>
        <w:t xml:space="preserve"> </w:t>
      </w:r>
      <w:r>
        <w:t xml:space="preserve">consequence of what the tool does, not a convention you could reasonably invert.</w:t>
      </w:r>
    </w:p>
    <w:bookmarkEnd w:id="42"/>
    <w:bookmarkStart w:id="43" w:name="X9d2a7b90d997eb5229c605c3c481d429c3bd196"/>
    <w:p>
      <w:pPr>
        <w:pStyle w:val="Heading3"/>
      </w:pPr>
      <w:r>
        <w:t xml:space="preserve">An applying tool is not a control, and it may not be scored</w:t>
      </w:r>
    </w:p>
    <w:p>
      <w:pPr>
        <w:pStyle w:val="FirstParagraph"/>
      </w:pPr>
      <w:r>
        <w:t xml:space="preserve">If no pipeline leg runs it and nothing reads its output, it is not a gate and not a signal.</w:t>
      </w:r>
    </w:p>
    <w:p>
      <w:pPr>
        <w:pStyle w:val="BodyText"/>
      </w:pPr>
      <w:r>
        <w:t xml:space="preserve">Be precise about why the liveness rule above -- the requirement that a gate be proven able to fail --</w:t>
      </w:r>
      <w:r>
        <w:t xml:space="preserve"> </w:t>
      </w:r>
      <w:r>
        <w:t xml:space="preserve">does not reach it. Not because it is advisory, but because</w:t>
      </w:r>
      <w:r>
        <w:t xml:space="preserve"> </w:t>
      </w:r>
      <w:r>
        <w:rPr>
          <w:b/>
          <w:bCs/>
        </w:rPr>
        <w:t xml:space="preserve">there is no green check to trust in the</w:t>
      </w:r>
      <w:r>
        <w:rPr>
          <w:b/>
          <w:bCs/>
        </w:rPr>
        <w:t xml:space="preserve"> </w:t>
      </w:r>
      <w:r>
        <w:rPr>
          <w:b/>
          <w:bCs/>
        </w:rPr>
        <w:t xml:space="preserve">first place</w:t>
      </w:r>
      <w:r>
        <w:t xml:space="preserve">. State it loosely and a reader concludes advisory things are exempt from liveness,</w:t>
      </w:r>
      <w:r>
        <w:t xml:space="preserve"> </w:t>
      </w:r>
      <w:r>
        <w:t xml:space="preserve">which is the opposite of the rule.</w:t>
      </w:r>
    </w:p>
    <w:p>
      <w:pPr>
        <w:pStyle w:val="BodyText"/>
      </w:pPr>
      <w:r>
        <w:rPr>
          <w:b/>
          <w:bCs/>
        </w:rPr>
        <w:t xml:space="preserve">A tool that ships with the AI coding assistant leaves nothing in your repository to score.</w:t>
      </w:r>
      <w:r>
        <w:t xml:space="preserve"> </w:t>
      </w:r>
      <w:r>
        <w:t xml:space="preserve">When</w:t>
      </w:r>
      <w:r>
        <w:t xml:space="preserve"> </w:t>
      </w:r>
      <w:r>
        <w:t xml:space="preserve">the tool arrives with the AI coding assistant rather than with the project, no artifact under version</w:t>
      </w:r>
      <w:r>
        <w:t xml:space="preserve"> </w:t>
      </w:r>
      <w:r>
        <w:t xml:space="preserve">control records its presence.</w:t>
      </w:r>
    </w:p>
    <w:p>
      <w:pPr>
        <w:pStyle w:val="BodyText"/>
      </w:pPr>
      <w:r>
        <w:t xml:space="preserve">A status claim about it can therefore be neither verified nor falsified from the repository. The</w:t>
      </w:r>
      <w:r>
        <w:t xml:space="preserve"> </w:t>
      </w:r>
      <w:r>
        <w:t xml:space="preserve">honest entry is no status at all -- not "built", not "enabled". This one is easy to get wrong by</w:t>
      </w:r>
      <w:r>
        <w:t xml:space="preserve"> </w:t>
      </w:r>
      <w:r>
        <w:t xml:space="preserve">accident, because the tool is plainly doing useful work.</w:t>
      </w:r>
    </w:p>
    <w:bookmarkEnd w:id="43"/>
    <w:bookmarkStart w:id="44" w:name="X551e6e2df0d6fccfd0169d5dffc8a5d8c0df508"/>
    <w:p>
      <w:pPr>
        <w:pStyle w:val="Heading3"/>
      </w:pPr>
      <w:r>
        <w:t xml:space="preserve">Tell an applying tool which duplication is deliberate</w:t>
      </w:r>
    </w:p>
    <w:p>
      <w:pPr>
        <w:pStyle w:val="FirstParagraph"/>
      </w:pPr>
      <w:r>
        <w:t xml:space="preserve">A tool that rewrites for reuse will collapse repetition that exists on purpose, and collapsing it</w:t>
      </w:r>
      <w:r>
        <w:t xml:space="preserve"> </w:t>
      </w:r>
      <w:r>
        <w:t xml:space="preserve">undoes a decision someone made for reasons.</w:t>
      </w:r>
    </w:p>
    <w:p>
      <w:pPr>
        <w:pStyle w:val="BodyText"/>
      </w:pPr>
      <w:r>
        <w:t xml:space="preserve">Carry the exclusions as an open class --</w:t>
      </w:r>
      <w:r>
        <w:t xml:space="preserve"> </w:t>
      </w:r>
      <w:r>
        <w:rPr>
          <w:b/>
          <w:bCs/>
        </w:rPr>
        <w:t xml:space="preserve">at least</w:t>
      </w:r>
      <w:r>
        <w:t xml:space="preserve"> </w:t>
      </w:r>
      <w:r>
        <w:t xml:space="preserve">these, never a closed list. The closed form is</w:t>
      </w:r>
      <w:r>
        <w:t xml:space="preserve"> </w:t>
      </w:r>
      <w:r>
        <w:t xml:space="preserve">what fails: a list of exactly two cases went to review, and a third was found that it had missed. A</w:t>
      </w:r>
      <w:r>
        <w:t xml:space="preserve"> </w:t>
      </w:r>
      <w:r>
        <w:t xml:space="preserve">starting set worth naming:</w:t>
      </w:r>
    </w:p>
    <w:p>
      <w:pPr>
        <w:pStyle w:val="Compact"/>
        <w:numPr>
          <w:ilvl w:val="0"/>
          <w:numId w:val="1006"/>
        </w:numPr>
      </w:pPr>
      <w:r>
        <w:t xml:space="preserve">A parallel implementation kept deliberately similar across backends and pinned by a parity test.</w:t>
      </w:r>
      <w:r>
        <w:t xml:space="preserve"> </w:t>
      </w:r>
      <w:r>
        <w:t xml:space="preserve">The duplication is the point, and the parity test is what protects it.</w:t>
      </w:r>
    </w:p>
    <w:p>
      <w:pPr>
        <w:pStyle w:val="Compact"/>
        <w:numPr>
          <w:ilvl w:val="0"/>
          <w:numId w:val="1006"/>
        </w:numPr>
      </w:pPr>
      <w:r>
        <w:t xml:space="preserve">A vendored copy of an internal library, pinned by a test proving the copy matches its source.</w:t>
      </w:r>
    </w:p>
    <w:p>
      <w:pPr>
        <w:pStyle w:val="Compact"/>
        <w:numPr>
          <w:ilvl w:val="0"/>
          <w:numId w:val="1006"/>
        </w:numPr>
      </w:pPr>
      <w:r>
        <w:t xml:space="preserve">Defensive branches in tolerant input parsing. These are not a duplication concern at all -- they</w:t>
      </w:r>
      <w:r>
        <w:t xml:space="preserve"> </w:t>
      </w:r>
      <w:r>
        <w:t xml:space="preserve">belong to the complexity signal, and filing them under duplication produces the wrong fix.</w:t>
      </w:r>
    </w:p>
    <w:p>
      <w:pPr>
        <w:pStyle w:val="FirstParagraph"/>
      </w:pPr>
      <w:r>
        <w:t xml:space="preserve">Every applied edit stays the maintainer's, kept or discarded one at a time, under the floor that you</w:t>
      </w:r>
      <w:r>
        <w:t xml:space="preserve"> </w:t>
      </w:r>
      <w:r>
        <w:t xml:space="preserve">reject code you cannot explain. A tool that edits your tree has not certified anything: it is a</w:t>
      </w:r>
      <w:r>
        <w:t xml:space="preserve"> </w:t>
      </w:r>
      <w:r>
        <w:t xml:space="preserve">review you asked for, and the verdict is still yours.</w:t>
      </w:r>
    </w:p>
    <w:bookmarkEnd w:id="44"/>
    <w:bookmarkStart w:id="46" w:name="X597443be2705a139bc04ea159f59888b5604f40"/>
    <w:p>
      <w:pPr>
        <w:pStyle w:val="Heading3"/>
      </w:pPr>
      <w:r>
        <w:t xml:space="preserve">Re-derive placement after any repair to the gate</w:t>
      </w:r>
    </w:p>
    <w:p>
      <w:pPr>
        <w:pStyle w:val="FirstParagraph"/>
      </w:pPr>
      <w:r>
        <w:t xml:space="preserve">A cost figure produced by a tool that crashed before doing any work is not a measurement. One gate</w:t>
      </w:r>
      <w:r>
        <w:t xml:space="preserve"> </w:t>
      </w:r>
      <w:r>
        <w:t xml:space="preserve">here was classified expensive and pushed onto a nightly schedule on exactly that basis. Once the</w:t>
      </w:r>
      <w:r>
        <w:t xml:space="preserve"> </w:t>
      </w:r>
      <w:r>
        <w:t xml:space="preserve">tool was pinned to a working version, the same bounded scope finished in seconds and the gate moved</w:t>
      </w:r>
      <w:r>
        <w:t xml:space="preserve"> </w:t>
      </w:r>
      <w:r>
        <w:t xml:space="preserve">onto every proposed change.</w:t>
      </w:r>
    </w:p>
    <w:p>
      <w:pPr>
        <w:pStyle w:val="BodyText"/>
      </w:pPr>
      <w:r>
        <w:t xml:space="preserve">The general rule is already stated as</w:t>
      </w:r>
      <w:r>
        <w:t xml:space="preserve"> </w:t>
      </w:r>
      <w:hyperlink r:id="rId45">
        <w:r>
          <w:rPr>
            <w:rStyle w:val="Hyperlink"/>
          </w:rPr>
          <w:t xml:space="preserve">A cost model built on a broken gate is fiction</w:t>
        </w:r>
      </w:hyperlink>
      <w:r>
        <w:t xml:space="preserve">.</w:t>
      </w:r>
      <w:r>
        <w:t xml:space="preserve"> </w:t>
      </w:r>
      <w:r>
        <w:t xml:space="preserve">The rubric-level consequence:</w:t>
      </w:r>
      <w:r>
        <w:t xml:space="preserve"> </w:t>
      </w:r>
      <w:r>
        <w:rPr>
          <w:b/>
          <w:bCs/>
        </w:rPr>
        <w:t xml:space="preserve">placement is a derived value, so re-derive it after any repair.</w:t>
      </w:r>
    </w:p>
    <w:bookmarkEnd w:id="46"/>
    <w:bookmarkStart w:id="48" w:name="X1df03efceb460cdfcaee6e33061c438652629db"/>
    <w:p>
      <w:pPr>
        <w:pStyle w:val="Heading3"/>
      </w:pPr>
      <w:r>
        <w:t xml:space="preserve">Never record a row as built without a proof-of-execution receipt</w:t>
      </w:r>
    </w:p>
    <w:p>
      <w:pPr>
        <w:pStyle w:val="FirstParagraph"/>
      </w:pPr>
      <w:r>
        <w:t xml:space="preserve">A status of "built" records a gate's existence, not its execution.</w:t>
      </w:r>
    </w:p>
    <w:p>
      <w:pPr>
        <w:pStyle w:val="BodyText"/>
      </w:pPr>
      <w:r>
        <w:t xml:space="preserve">One later review found three defects across two of five measurement gates, all green throughout: two</w:t>
      </w:r>
      <w:r>
        <w:t xml:space="preserve"> </w:t>
      </w:r>
      <w:r>
        <w:t xml:space="preserve">gates measuring nothing, and one measuring correctly while publishing a wrong derived number. One of</w:t>
      </w:r>
      <w:r>
        <w:t xml:space="preserve"> </w:t>
      </w:r>
      <w:r>
        <w:t xml:space="preserve">them had been scored built across two published versions of the rubric while producing zero units of</w:t>
      </w:r>
      <w:r>
        <w:t xml:space="preserve"> </w:t>
      </w:r>
      <w:r>
        <w:t xml:space="preserve">work.</w:t>
      </w:r>
    </w:p>
    <w:p>
      <w:pPr>
        <w:pStyle w:val="BodyText"/>
      </w:pPr>
      <w:r>
        <w:t xml:space="preserve">The liveness rules that came out of that are published in full under</w:t>
      </w:r>
      <w:r>
        <w:t xml:space="preserve"> </w:t>
      </w:r>
      <w:hyperlink r:id="rId47">
        <w:r>
          <w:rPr>
            <w:rStyle w:val="Hyperlink"/>
          </w:rPr>
          <w:t xml:space="preserve">A check that cannot fail is not a control</w:t>
        </w:r>
      </w:hyperlink>
      <w:r>
        <w:t xml:space="preserve">:</w:t>
      </w:r>
    </w:p>
    <w:p>
      <w:pPr>
        <w:pStyle w:val="Compact"/>
        <w:numPr>
          <w:ilvl w:val="0"/>
          <w:numId w:val="1007"/>
        </w:numPr>
      </w:pPr>
      <w:r>
        <w:t xml:space="preserve">count units examined and never units found</w:t>
      </w:r>
    </w:p>
    <w:p>
      <w:pPr>
        <w:pStyle w:val="Compact"/>
        <w:numPr>
          <w:ilvl w:val="0"/>
          <w:numId w:val="1007"/>
        </w:numPr>
      </w:pPr>
      <w:r>
        <w:t xml:space="preserve">"nothing to measure" passes only when stated and reasoned</w:t>
      </w:r>
    </w:p>
    <w:p>
      <w:pPr>
        <w:pStyle w:val="Compact"/>
        <w:numPr>
          <w:ilvl w:val="0"/>
          <w:numId w:val="1007"/>
        </w:numPr>
      </w:pPr>
      <w:r>
        <w:t xml:space="preserve">a reconciliation containing a derived term is blind to that term</w:t>
      </w:r>
    </w:p>
    <w:p>
      <w:pPr>
        <w:pStyle w:val="Compact"/>
        <w:numPr>
          <w:ilvl w:val="0"/>
          <w:numId w:val="1007"/>
        </w:numPr>
      </w:pPr>
      <w:r>
        <w:t xml:space="preserve">attack the control with the failure class it was built to catch</w:t>
      </w:r>
    </w:p>
    <w:p>
      <w:pPr>
        <w:pStyle w:val="Compact"/>
        <w:numPr>
          <w:ilvl w:val="0"/>
          <w:numId w:val="1007"/>
        </w:numPr>
      </w:pPr>
      <w:r>
        <w:t xml:space="preserve">the advisory layer needs exactly one job permitted to go red</w:t>
      </w:r>
    </w:p>
    <w:p>
      <w:pPr>
        <w:pStyle w:val="FirstParagraph"/>
      </w:pPr>
      <w:r>
        <w:rPr>
          <w:b/>
          <w:bCs/>
        </w:rPr>
        <w:t xml:space="preserve">Rule for this rubric specifically: a scorecard row cites the receipt, not the workflow file.</w:t>
      </w:r>
    </w:p>
    <w:p>
      <w:pPr>
        <w:pStyle w:val="BodyText"/>
      </w:pPr>
      <w:r>
        <w:t xml:space="preserve">Three mechanics make that receipt trustworthy, and each was learned by losing it: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Pin the exact version of any tool a gate depends on.</w:t>
      </w:r>
      <w:r>
        <w:t xml:space="preserve"> </w:t>
      </w:r>
      <w:r>
        <w:t xml:space="preserve">An open upper bound resolved to a release</w:t>
      </w:r>
      <w:r>
        <w:t xml:space="preserve"> </w:t>
      </w:r>
      <w:r>
        <w:t xml:space="preserve">that crashed on the project's runtime before generating any work.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Remove failure-swallowing operators from gate scripts.</w:t>
      </w:r>
      <w:r>
        <w:t xml:space="preserve"> </w:t>
      </w:r>
      <w:r>
        <w:t xml:space="preserve">A trailing ignore-failures operator</w:t>
      </w:r>
      <w:r>
        <w:t xml:space="preserve"> </w:t>
      </w:r>
      <w:r>
        <w:t xml:space="preserve">turned that crash into a passing job in well under a minute.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Require a non-zero units-examined count</w:t>
      </w:r>
      <w:r>
        <w:t xml:space="preserve">, so a resolution change cannot read as a clean sweep.</w:t>
      </w:r>
    </w:p>
    <w:bookmarkEnd w:id="48"/>
    <w:bookmarkStart w:id="49" w:name="Xd9dbceec688c77ac95e3dc47bf43983d521284f"/>
    <w:p>
      <w:pPr>
        <w:pStyle w:val="Heading3"/>
      </w:pPr>
      <w:r>
        <w:t xml:space="preserve">Make an advisory finding a delta against the merge base</w:t>
      </w:r>
    </w:p>
    <w:p>
      <w:pPr>
        <w:pStyle w:val="FirstParagraph"/>
      </w:pPr>
      <w:r>
        <w:t xml:space="preserve">A raw advisory list over a whole repository is not usable on a change. Every finding anchors on the</w:t>
      </w:r>
      <w:r>
        <w:t xml:space="preserve"> </w:t>
      </w:r>
      <w:r>
        <w:t xml:space="preserve">same declaration line, so nothing distinguishes what the change introduced from what it inherited.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Compute the finding set at the merge base and at the change head, and report only what the</w:t>
      </w:r>
      <w:r>
        <w:t xml:space="preserve"> </w:t>
      </w:r>
      <w:r>
        <w:t xml:space="preserve">change introduced or made worse.</w:t>
      </w:r>
    </w:p>
    <w:bookmarkEnd w:id="49"/>
    <w:bookmarkStart w:id="50" w:name="X8c4e78d23ff997ec49ea1c102279685646a2549"/>
    <w:p>
      <w:pPr>
        <w:pStyle w:val="Heading3"/>
      </w:pPr>
      <w:r>
        <w:t xml:space="preserve">Put advisory findings where the reviewer already is</w:t>
      </w:r>
    </w:p>
    <w:p>
      <w:pPr>
        <w:pStyle w:val="FirstParagraph"/>
      </w:pPr>
      <w:r>
        <w:t xml:space="preserve">An advisory measurement that prints to a job log is read by nobody.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Emit it as an inline annotation on the changed lines of the proposal, coalescing adjacent</w:t>
      </w:r>
      <w:r>
        <w:t xml:space="preserve"> </w:t>
      </w:r>
      <w:r>
        <w:t xml:space="preserve">findings into ranges so the annotation set stays legible.</w:t>
      </w:r>
    </w:p>
    <w:bookmarkEnd w:id="50"/>
    <w:bookmarkStart w:id="52" w:name="Xb62db8c4c5e20baab99d0eaa36c6b7cbdb5b5b0"/>
    <w:p>
      <w:pPr>
        <w:pStyle w:val="Heading3"/>
      </w:pPr>
      <w:r>
        <w:t xml:space="preserve">Install the gate's own tooling from a checked-in lock</w:t>
      </w:r>
    </w:p>
    <w:p>
      <w:pPr>
        <w:pStyle w:val="FirstParagraph"/>
      </w:pPr>
      <w:r>
        <w:t xml:space="preserve">Advisory tooling installed ephemerally on a runner is still a dependency of a control. A version</w:t>
      </w:r>
      <w:r>
        <w:t xml:space="preserve"> </w:t>
      </w:r>
      <w:r>
        <w:t xml:space="preserve">pin does not satisfy a supply-chain scorer's pinned-dependency requirement. A hash-pinned toolchain</w:t>
      </w:r>
      <w:r>
        <w:t xml:space="preserve"> </w:t>
      </w:r>
      <w:r>
        <w:t xml:space="preserve">kept</w:t>
      </w:r>
      <w:r>
        <w:t xml:space="preserve"> </w:t>
      </w:r>
      <w:r>
        <w:rPr>
          <w:b/>
          <w:bCs/>
        </w:rPr>
        <w:t xml:space="preserve">outside</w:t>
      </w:r>
      <w:r>
        <w:t xml:space="preserve"> </w:t>
      </w:r>
      <w:r>
        <w:t xml:space="preserve">your existing export-and-diff machinery rots into a pinned, stale and unpatched</w:t>
      </w:r>
      <w:r>
        <w:t xml:space="preserve"> </w:t>
      </w:r>
      <w:r>
        <w:t xml:space="preserve">one -- a worse posture than floating.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Install gate tooling from a lock that records digests, kept inside the same</w:t>
      </w:r>
      <w:r>
        <w:t xml:space="preserve"> </w:t>
      </w:r>
      <w:r>
        <w:t xml:space="preserve">regenerate-and-diff machinery as your runtime locks. Assert that it cannot leak into the runtime</w:t>
      </w:r>
      <w:r>
        <w:t xml:space="preserve"> </w:t>
      </w:r>
      <w:r>
        <w:t xml:space="preserve">install set.</w:t>
      </w:r>
    </w:p>
    <w:p>
      <w:pPr>
        <w:pStyle w:val="BodyText"/>
      </w:pPr>
      <w:r>
        <w:rPr>
          <w:i/>
          <w:iCs/>
        </w:rPr>
        <w:t xml:space="preserve">The declaration mechanism -- a non-default dependency group, an optional extra, a separate lock</w:t>
      </w:r>
      <w:r>
        <w:rPr>
          <w:i/>
          <w:iCs/>
        </w:rPr>
        <w:t xml:space="preserve"> </w:t>
      </w:r>
      <w:r>
        <w:rPr>
          <w:i/>
          <w:iCs/>
        </w:rPr>
        <w:t xml:space="preserve">file -- is ecosystem-specific. Check what yours actually guarantees rather than assuming a version</w:t>
      </w:r>
      <w:r>
        <w:rPr>
          <w:i/>
          <w:iCs/>
        </w:rPr>
        <w:t xml:space="preserve"> </w:t>
      </w:r>
      <w:r>
        <w:rPr>
          <w:i/>
          <w:iCs/>
        </w:rPr>
        <w:t xml:space="preserve">pin is a digest pin.</w:t>
      </w:r>
    </w:p>
    <w:p>
      <w:pPr>
        <w:pStyle w:val="BodyText"/>
      </w:pPr>
      <w:r>
        <w:t xml:space="preserve">The general rule is</w:t>
      </w:r>
      <w:r>
        <w:t xml:space="preserve"> </w:t>
      </w:r>
      <w:hyperlink r:id="rId51">
        <w:r>
          <w:rPr>
            <w:rStyle w:val="Hyperlink"/>
          </w:rPr>
          <w:t xml:space="preserve">Constrain every install site from a checked-in lock</w:t>
        </w:r>
      </w:hyperlink>
      <w:r>
        <w:t xml:space="preserve">;</w:t>
      </w:r>
      <w:r>
        <w:t xml:space="preserve"> </w:t>
      </w:r>
      <w:r>
        <w:t xml:space="preserve">the two deltas above are the additions.</w:t>
      </w:r>
    </w:p>
    <w:bookmarkEnd w:id="52"/>
    <w:bookmarkStart w:id="54" w:name="Xc62112f73f7d2e1f495818af037474d28051436"/>
    <w:p>
      <w:pPr>
        <w:pStyle w:val="Heading3"/>
      </w:pPr>
      <w:r>
        <w:t xml:space="preserve">Widen a blocking lint ruleset from a clean baseline</w:t>
      </w:r>
    </w:p>
    <w:p>
      <w:pPr>
        <w:pStyle w:val="FirstParagraph"/>
      </w:pPr>
      <w:r>
        <w:t xml:space="preserve">Widening a ruleset on an existing codebase produces a wall of violations that will either be</w:t>
      </w:r>
      <w:r>
        <w:t xml:space="preserve"> </w:t>
      </w:r>
      <w:r>
        <w:t xml:space="preserve">suppressed wholesale or ignored.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Auto-fix what is mechanically fixable, grandfather the remainder with per-line</w:t>
      </w:r>
      <w:r>
        <w:t xml:space="preserve"> </w:t>
      </w:r>
      <w:r>
        <w:t xml:space="preserve">suppressions that each name the rule, and enforce on new code from that clean baseline. See</w:t>
      </w:r>
      <w:r>
        <w:t xml:space="preserve"> </w:t>
      </w:r>
      <w:hyperlink r:id="rId53">
        <w:r>
          <w:rPr>
            <w:rStyle w:val="Hyperlink"/>
          </w:rPr>
          <w:t xml:space="preserve">Grandfather to a clean baseline, then ratchet</w:t>
        </w:r>
      </w:hyperlink>
      <w:r>
        <w:t xml:space="preserve">.</w:t>
      </w:r>
    </w:p>
    <w:bookmarkEnd w:id="54"/>
    <w:bookmarkStart w:id="55" w:name="X4c002b3a64c509ea8664658236d67cae023b9dc"/>
    <w:p>
      <w:pPr>
        <w:pStyle w:val="Heading3"/>
      </w:pPr>
      <w:r>
        <w:t xml:space="preserve">Keep volatile counts out of the narrative</w:t>
      </w:r>
    </w:p>
    <w:p>
      <w:pPr>
        <w:pStyle w:val="FirstParagraph"/>
      </w:pPr>
      <w:r>
        <w:t xml:space="preserve">One complexity sweep found a certain number of functions over threshold. Two weeks later, with no</w:t>
      </w:r>
      <w:r>
        <w:t xml:space="preserve"> </w:t>
      </w:r>
      <w:r>
        <w:t xml:space="preserve">change to the rule, the same sweep found substantially more. The count in prose went stale faster</w:t>
      </w:r>
      <w:r>
        <w:t xml:space="preserve"> </w:t>
      </w:r>
      <w:r>
        <w:t xml:space="preserve">than the document's own revision cycle, and both figures described one repository -- which is why</w:t>
      </w:r>
      <w:r>
        <w:t xml:space="preserve"> </w:t>
      </w:r>
      <w:r>
        <w:t xml:space="preserve">neither appears here.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 volatile count lives in one machine-readable record the prose links to, never in the</w:t>
      </w:r>
      <w:r>
        <w:t xml:space="preserve"> </w:t>
      </w:r>
      <w:r>
        <w:t xml:space="preserve">narrative. State the rule; let the record hold the number.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reviewing-the-code-depth-tiers"/>
    <w:p>
      <w:pPr>
        <w:pStyle w:val="Heading2"/>
      </w:pPr>
      <w:r>
        <w:t xml:space="preserve">Reviewing the code: depth tiers</w:t>
      </w:r>
    </w:p>
    <w:p>
      <w:pPr>
        <w:pStyle w:val="FirstParagraph"/>
      </w:pPr>
      <w:r>
        <w:t xml:space="preserve">Before reviewing, classify every file into a depth tier and review to that tier. Publish the</w:t>
      </w:r>
      <w:r>
        <w:t xml:space="preserve"> </w:t>
      </w:r>
      <w:r>
        <w:t xml:space="preserve">classification with a line count per tier, so the review is auditable and the deep-read surface is</w:t>
      </w:r>
      <w:r>
        <w:t xml:space="preserve"> </w:t>
      </w:r>
      <w:r>
        <w:t xml:space="preserve">visibly small.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Depth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  <w:tc>
          <w:tcPr/>
          <w:p>
            <w:pPr>
              <w:pStyle w:val="Compact"/>
            </w:pPr>
            <w:r>
              <w:t xml:space="preserve">When it applies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every line</w:t>
            </w:r>
          </w:p>
        </w:tc>
        <w:tc>
          <w:tcPr/>
          <w:p>
            <w:pPr>
              <w:pStyle w:val="Compact"/>
            </w:pPr>
            <w:r>
              <w:t xml:space="preserve">Full comprehension. Explain each line and stand behind it; rubber-stamping is forbidden, and code that stays opaque is rejected</w:t>
            </w:r>
          </w:p>
        </w:tc>
        <w:tc>
          <w:tcPr/>
          <w:p>
            <w:pPr>
              <w:pStyle w:val="Compact"/>
            </w:pPr>
            <w:r>
              <w:t xml:space="preserve">Third-party or unknown-provenance code you are adopting as your own. This is what converts it into owned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the guard</w:t>
            </w:r>
          </w:p>
        </w:tc>
        <w:tc>
          <w:tcPr/>
          <w:p>
            <w:pPr>
              <w:pStyle w:val="Compact"/>
            </w:pPr>
            <w:r>
              <w:t xml:space="preserve">Read only the trust-boundary functions that admit unknown-provenance input. The question is "is the gate sound?", not "is every line correct?"</w:t>
            </w:r>
          </w:p>
        </w:tc>
        <w:tc>
          <w:tcPr/>
          <w:p>
            <w:pPr>
              <w:pStyle w:val="Compact"/>
            </w:pPr>
            <w:r>
              <w:t xml:space="preserve">A large first-party file whose only exposure is one boundary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Drift check</w:t>
            </w:r>
          </w:p>
        </w:tc>
        <w:tc>
          <w:tcPr/>
          <w:p>
            <w:pPr>
              <w:pStyle w:val="Compact"/>
            </w:pPr>
            <w:r>
              <w:t xml:space="preserve">Skim a first-party parallel implementation for divergence from the thing it shadows. Not line-by-line</w:t>
            </w:r>
          </w:p>
        </w:tc>
        <w:tc>
          <w:tcPr/>
          <w:p>
            <w:pPr>
              <w:pStyle w:val="Compact"/>
            </w:pPr>
            <w:r>
              <w:t xml:space="preserve">A deliberate second implementation of behavior that exists elsewhere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Glance</w:t>
            </w:r>
          </w:p>
        </w:tc>
        <w:tc>
          <w:tcPr/>
          <w:p>
            <w:pPr>
              <w:pStyle w:val="Compact"/>
            </w:pPr>
            <w:r>
              <w:t xml:space="preserve">Confirm the shape of a representative example. Representative, not exhaustive</w:t>
            </w:r>
          </w:p>
        </w:tc>
        <w:tc>
          <w:tcPr/>
          <w:p>
            <w:pPr>
              <w:pStyle w:val="Compact"/>
            </w:pPr>
            <w:r>
              <w:t xml:space="preserve">Sample or template code that shows a pattern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 note</w:t>
            </w:r>
          </w:p>
        </w:tc>
        <w:tc>
          <w:tcPr/>
          <w:p>
            <w:pPr>
              <w:pStyle w:val="Compact"/>
            </w:pPr>
            <w:r>
              <w:t xml:space="preserve">Record where it came from and who verified it</w:t>
            </w:r>
          </w:p>
        </w:tc>
        <w:tc>
          <w:tcPr/>
          <w:p>
            <w:pPr>
              <w:pStyle w:val="Compact"/>
            </w:pPr>
            <w:r>
              <w:t xml:space="preserve">Bundled data rather than code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Measured in one review: the deep-read tier was roughly five percent of the reviewed lines.</w:t>
      </w:r>
      <w:r>
        <w:t xml:space="preserve"> </w:t>
      </w:r>
      <w:r>
        <w:t xml:space="preserve">That is the point of the classification. The expensive read is aimed at the fraction that earns it,</w:t>
      </w:r>
      <w:r>
        <w:t xml:space="preserve"> </w:t>
      </w:r>
      <w:r>
        <w:t xml:space="preserve">and every other file has a named cheaper obligation rather than being skipped in silence.</w:t>
      </w:r>
    </w:p>
    <w:p>
      <w:pPr>
        <w:pStyle w:val="BodyText"/>
      </w:pPr>
      <w:r>
        <w:t xml:space="preserve">The comprehension bar itself is settled on this site. You must be able to explain every reviewed</w:t>
      </w:r>
      <w:r>
        <w:t xml:space="preserve"> </w:t>
      </w:r>
      <w:r>
        <w:t xml:space="preserve">line and stand behind it, and reaching that explanation with assistance is fine. See</w:t>
      </w:r>
      <w:r>
        <w:t xml:space="preserve"> </w:t>
      </w:r>
      <w:r>
        <w:rPr>
          <w:i/>
          <w:iCs/>
        </w:rPr>
        <w:t xml:space="preserve">Reject code</w:t>
      </w:r>
      <w:r>
        <w:rPr>
          <w:i/>
          <w:iCs/>
        </w:rPr>
        <w:t xml:space="preserve"> </w:t>
      </w:r>
      <w:r>
        <w:rPr>
          <w:i/>
          <w:iCs/>
        </w:rPr>
        <w:t xml:space="preserve">you cannot explain</w:t>
      </w:r>
      <w:r>
        <w:t xml:space="preserve"> </w:t>
      </w:r>
      <w:r>
        <w:t xml:space="preserve">in</w:t>
      </w:r>
      <w:r>
        <w:t xml:space="preserve"> </w:t>
      </w:r>
      <w:hyperlink r:id="rId57">
        <w:r>
          <w:rPr>
            <w:rStyle w:val="Hyperlink"/>
          </w:rPr>
          <w:t xml:space="preserve">CI and standards</w:t>
        </w:r>
      </w:hyperlink>
      <w:r>
        <w:t xml:space="preserve">.</w:t>
      </w:r>
    </w:p>
    <w:bookmarkStart w:id="58" w:name="X21447fa3360ab7c39aecc4afe7b21be6d9bbd16"/>
    <w:p>
      <w:pPr>
        <w:pStyle w:val="Heading3"/>
      </w:pPr>
      <w:r>
        <w:t xml:space="preserve">Anchor a review record to a stable name, not a line number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Cite the function or symbol name and tell the reviewer to search for it. Record an</w:t>
      </w:r>
      <w:r>
        <w:t xml:space="preserve"> </w:t>
      </w:r>
      <w:r>
        <w:t xml:space="preserve">approximate position only as a convenience, and say in the record that positions drift. A checklist</w:t>
      </w:r>
      <w:r>
        <w:t xml:space="preserve"> </w:t>
      </w:r>
      <w:r>
        <w:t xml:space="preserve">whose citations all point at the wrong lines within one release is not a checklist.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0" w:name="reviewing-a-trust-boundary"/>
    <w:p>
      <w:pPr>
        <w:pStyle w:val="Heading2"/>
      </w:pPr>
      <w:r>
        <w:t xml:space="preserve">Reviewing a trust boundary</w:t>
      </w:r>
    </w:p>
    <w:p>
      <w:pPr>
        <w:pStyle w:val="FirstParagraph"/>
      </w:pPr>
      <w:r>
        <w:t xml:space="preserve">When a component executes, imports or loads content of unknown provenance, review the</w:t>
      </w:r>
      <w:r>
        <w:t xml:space="preserve"> </w:t>
      </w:r>
      <w:r>
        <w:rPr>
          <w:b/>
          <w:bCs/>
        </w:rPr>
        <w:t xml:space="preserve">boundary</w:t>
      </w:r>
      <w:r>
        <w:t xml:space="preserve"> </w:t>
      </w:r>
      <w:r>
        <w:t xml:space="preserve">rather than the body, against a fixed question set. These generalize from a real review of one such</w:t>
      </w:r>
      <w:r>
        <w:t xml:space="preserve"> </w:t>
      </w:r>
      <w:r>
        <w:t xml:space="preserve">seam; the two most commonly missed are the last two.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the vet actually bound what can load?</w:t>
      </w:r>
      <w:r>
        <w:t xml:space="preserve"> </w:t>
      </w:r>
      <w:r>
        <w:t xml:space="preserve">Not "does a vet exist" -- does it constrain the</w:t>
      </w:r>
      <w:r>
        <w:t xml:space="preserve"> </w:t>
      </w:r>
      <w:r>
        <w:t xml:space="preserve">set.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there any code path that reaches execution without the vet running first?</w:t>
      </w:r>
      <w:r>
        <w:t xml:space="preserve"> </w:t>
      </w:r>
      <w:r>
        <w:t xml:space="preserve">Check every</w:t>
      </w:r>
      <w:r>
        <w:t xml:space="preserve"> </w:t>
      </w:r>
      <w:r>
        <w:t xml:space="preserve">caller, not only the documented one.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it fail closed?</w:t>
      </w:r>
      <w:r>
        <w:t xml:space="preserve"> </w:t>
      </w:r>
      <w:r>
        <w:t xml:space="preserve">No silent downgrade to a weaker mode when the intended backend is</w:t>
      </w:r>
      <w:r>
        <w:t xml:space="preserve"> </w:t>
      </w:r>
      <w:r>
        <w:t xml:space="preserve">absent, and no fallback on an unknown name.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 load target validated against a fixed known set before use</w:t>
      </w:r>
      <w:r>
        <w:t xml:space="preserve">, so operator input cannot</w:t>
      </w:r>
      <w:r>
        <w:t xml:space="preserve"> </w:t>
      </w:r>
      <w:r>
        <w:t xml:space="preserve">trigger an arbitrary import?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the vet cover the whole executable surface</w:t>
      </w:r>
      <w:r>
        <w:t xml:space="preserve">, or only the obvious top level?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it follow links?</w:t>
      </w:r>
      <w:r>
        <w:t xml:space="preserve"> </w:t>
      </w:r>
      <w:r>
        <w:t xml:space="preserve">A vetted-looking entry can point at a writable or foreign target.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 check silently skipped under a privileged account?</w:t>
      </w:r>
      <w:r>
        <w:t xml:space="preserve"> </w:t>
      </w:r>
      <w:r>
        <w:t xml:space="preserve">If so, that account must be</w:t>
      </w:r>
      <w:r>
        <w:t xml:space="preserve"> </w:t>
      </w:r>
      <w:r>
        <w:t xml:space="preserve">documented as unsupported for running the component.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If it installs a resolution shim, is the shim scoped to the load window and removed</w:t>
      </w:r>
      <w:r>
        <w:rPr>
          <w:b/>
          <w:bCs/>
        </w:rPr>
        <w:t xml:space="preserve"> </w:t>
      </w:r>
      <w:r>
        <w:rPr>
          <w:b/>
          <w:bCs/>
        </w:rPr>
        <w:t xml:space="preserve">afterwards, and does it resolve only the names it is meant to?</w:t>
      </w:r>
      <w:r>
        <w:t xml:space="preserve"> </w:t>
      </w:r>
      <w:r>
        <w:t xml:space="preserve">A shim at the front of the</w:t>
      </w:r>
      <w:r>
        <w:t xml:space="preserve"> </w:t>
      </w:r>
      <w:r>
        <w:t xml:space="preserve">resolution order shadows genuine components for its whole lifetime.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a failed load clean up after itself</w:t>
      </w:r>
      <w:r>
        <w:t xml:space="preserve">, leaving no partially initialized state registered?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there a platform on which the runtime check returns early and does nothing?</w:t>
      </w:r>
      <w:r>
        <w:t xml:space="preserve"> </w:t>
      </w:r>
      <w:r>
        <w:t xml:space="preserve">If so, the</w:t>
      </w:r>
      <w:r>
        <w:t xml:space="preserve"> </w:t>
      </w:r>
      <w:r>
        <w:t xml:space="preserve">real boundary is an install-time filesystem permission that somebody must confirm was actually</w:t>
      </w:r>
      <w:r>
        <w:t xml:space="preserve"> </w:t>
      </w:r>
      <w:r>
        <w:t xml:space="preserve">applied -- and if that platform is your primary one, the runtime check is not the control you</w:t>
      </w:r>
      <w:r>
        <w:t xml:space="preserve"> </w:t>
      </w:r>
      <w:r>
        <w:t xml:space="preserve">think it is.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Where a question resolves as "not yet, because the risky case does not exist here",</w:t>
      </w:r>
      <w:r>
        <w:t xml:space="preserve"> </w:t>
      </w:r>
      <w:r>
        <w:t xml:space="preserve">record a</w:t>
      </w:r>
      <w:r>
        <w:t xml:space="preserve"> </w:t>
      </w:r>
      <w:r>
        <w:rPr>
          <w:b/>
          <w:bCs/>
        </w:rPr>
        <w:t xml:space="preserve">re-review trigger</w:t>
      </w:r>
      <w:r>
        <w:t xml:space="preserve"> </w:t>
      </w:r>
      <w:r>
        <w:t xml:space="preserve">naming the event that makes it exist.</w:t>
      </w:r>
    </w:p>
    <w:p>
      <w:r>
        <w:pict>
          <v:rect style="width:0;height:1.5pt" o:hralign="center" o:hrstd="t" o:hr="t"/>
        </w:pict>
      </w:r>
    </w:p>
    <w:bookmarkEnd w:id="60"/>
    <w:bookmarkStart w:id="62" w:name="confirming-the-control-plane"/>
    <w:p>
      <w:pPr>
        <w:pStyle w:val="Heading2"/>
      </w:pPr>
      <w:r>
        <w:t xml:space="preserve">Confirming the control plane</w:t>
      </w:r>
    </w:p>
    <w:p>
      <w:pPr>
        <w:pStyle w:val="FirstParagraph"/>
      </w:pPr>
      <w:r>
        <w:t xml:space="preserve">Split a release review into two parts and do the cheap half first.</w:t>
      </w:r>
    </w:p>
    <w:p>
      <w:pPr>
        <w:pStyle w:val="BodyText"/>
      </w:pPr>
      <w:r>
        <w:rPr>
          <w:b/>
          <w:bCs/>
        </w:rPr>
        <w:t xml:space="preserve">Part A -- the control plane. No code reading.</w:t>
      </w:r>
      <w:r>
        <w:t xml:space="preserve"> </w:t>
      </w:r>
      <w:r>
        <w:t xml:space="preserve">For each required check, confirm it exists, that</w:t>
      </w:r>
      <w:r>
        <w:t xml:space="preserve"> </w:t>
      </w:r>
      <w:r>
        <w:t xml:space="preserve">it is</w:t>
      </w:r>
      <w:r>
        <w:t xml:space="preserve"> </w:t>
      </w:r>
      <w:r>
        <w:rPr>
          <w:b/>
          <w:bCs/>
        </w:rPr>
        <w:t xml:space="preserve">blocking</w:t>
      </w:r>
      <w:r>
        <w:t xml:space="preserve"> </w:t>
      </w:r>
      <w:r>
        <w:t xml:space="preserve">rather than advisory, and that it was</w:t>
      </w:r>
      <w:r>
        <w:t xml:space="preserve"> </w:t>
      </w:r>
      <w:r>
        <w:rPr>
          <w:b/>
          <w:bCs/>
        </w:rPr>
        <w:t xml:space="preserve">green on the exact commit being</w:t>
      </w:r>
      <w:r>
        <w:rPr>
          <w:b/>
          <w:bCs/>
        </w:rPr>
        <w:t xml:space="preserve"> </w:t>
      </w:r>
      <w:r>
        <w:rPr>
          <w:b/>
          <w:bCs/>
        </w:rPr>
        <w:t xml:space="preserve">released</w:t>
      </w:r>
      <w:r>
        <w:t xml:space="preserve">. The release change's own pipeline run is the control plane executing. Confirm at least:</w:t>
      </w:r>
    </w:p>
    <w:p>
      <w:pPr>
        <w:pStyle w:val="Compact"/>
        <w:numPr>
          <w:ilvl w:val="0"/>
          <w:numId w:val="1010"/>
        </w:numPr>
      </w:pPr>
      <w:r>
        <w:t xml:space="preserve">a dependency inventory with a verify-before-add rule and no fabricated or near-miss names;</w:t>
      </w:r>
    </w:p>
    <w:p>
      <w:pPr>
        <w:pStyle w:val="Compact"/>
        <w:numPr>
          <w:ilvl w:val="0"/>
          <w:numId w:val="1010"/>
        </w:numPr>
      </w:pPr>
      <w:r>
        <w:t xml:space="preserve">pins that are hash-locked and provably in sync, with a re-export diff that comes back clean;</w:t>
      </w:r>
    </w:p>
    <w:p>
      <w:pPr>
        <w:pStyle w:val="Compact"/>
        <w:numPr>
          <w:ilvl w:val="0"/>
          <w:numId w:val="1010"/>
        </w:numPr>
      </w:pPr>
      <w:r>
        <w:t xml:space="preserve">a blocking dependency-vulnerability scan that installs with hashes required;</w:t>
      </w:r>
    </w:p>
    <w:p>
      <w:pPr>
        <w:pStyle w:val="Compact"/>
        <w:numPr>
          <w:ilvl w:val="0"/>
          <w:numId w:val="1010"/>
        </w:numPr>
      </w:pPr>
      <w:r>
        <w:t xml:space="preserve">scheduled vulnerability surveillance across</w:t>
      </w:r>
      <w:r>
        <w:t xml:space="preserve"> </w:t>
      </w:r>
      <w:r>
        <w:rPr>
          <w:b/>
          <w:bCs/>
        </w:rPr>
        <w:t xml:space="preserve">every</w:t>
      </w:r>
      <w:r>
        <w:t xml:space="preserve"> </w:t>
      </w:r>
      <w:r>
        <w:t xml:space="preserve">package ecosystem in the repository,</w:t>
      </w:r>
      <w:r>
        <w:t xml:space="preserve"> </w:t>
      </w:r>
      <w:r>
        <w:t xml:space="preserve">including ones outside the primary language;</w:t>
      </w:r>
    </w:p>
    <w:p>
      <w:pPr>
        <w:pStyle w:val="Compact"/>
        <w:numPr>
          <w:ilvl w:val="0"/>
          <w:numId w:val="1010"/>
        </w:numPr>
      </w:pPr>
      <w:r>
        <w:t xml:space="preserve">static analysis and secret scanning, blocking, with the secret scan over the full history;</w:t>
      </w:r>
    </w:p>
    <w:p>
      <w:pPr>
        <w:pStyle w:val="Compact"/>
        <w:numPr>
          <w:ilvl w:val="0"/>
          <w:numId w:val="1010"/>
        </w:numPr>
      </w:pPr>
      <w:r>
        <w:t xml:space="preserve">the scanner rule configuration and the local hook configuration present, tracking the same tool</w:t>
      </w:r>
      <w:r>
        <w:t xml:space="preserve"> </w:t>
      </w:r>
      <w:r>
        <w:t xml:space="preserve">versions as the pipeline;</w:t>
      </w:r>
    </w:p>
    <w:p>
      <w:pPr>
        <w:pStyle w:val="Compact"/>
        <w:numPr>
          <w:ilvl w:val="0"/>
          <w:numId w:val="1010"/>
        </w:numPr>
      </w:pPr>
      <w:r>
        <w:t xml:space="preserve">any provenance convention the project claims -- counted in the actual history, not assumed.</w:t>
      </w:r>
    </w:p>
    <w:p>
      <w:pPr>
        <w:pStyle w:val="FirstParagraph"/>
      </w:pPr>
      <w:r>
        <w:rPr>
          <w:b/>
          <w:bCs/>
        </w:rPr>
        <w:t xml:space="preserve">Review the scanner suppression list explicitly rather than accepting it.</w:t>
      </w:r>
      <w:r>
        <w:t xml:space="preserve"> </w:t>
      </w:r>
      <w:r>
        <w:t xml:space="preserve">A suppressed rule class</w:t>
      </w:r>
      <w:r>
        <w:t xml:space="preserve"> </w:t>
      </w:r>
      <w:r>
        <w:t xml:space="preserve">is a control that has been turned off, and the skip list is where that decision is recorded.</w:t>
      </w:r>
    </w:p>
    <w:p>
      <w:pPr>
        <w:pStyle w:val="BodyText"/>
      </w:pPr>
      <w:r>
        <w:rPr>
          <w:b/>
          <w:bCs/>
        </w:rPr>
        <w:t xml:space="preserve">Mark which nominally-security jobs are advisory rather than blocking, and do not count those as</w:t>
      </w:r>
      <w:r>
        <w:rPr>
          <w:b/>
          <w:bCs/>
        </w:rPr>
        <w:t xml:space="preserve"> </w:t>
      </w:r>
      <w:r>
        <w:rPr>
          <w:b/>
          <w:bCs/>
        </w:rPr>
        <w:t xml:space="preserve">coverage.</w:t>
      </w:r>
      <w:r>
        <w:t xml:space="preserve"> </w:t>
      </w:r>
      <w:r>
        <w:t xml:space="preserve">See</w:t>
      </w:r>
      <w:r>
        <w:t xml:space="preserve"> </w:t>
      </w:r>
      <w:hyperlink r:id="rId61">
        <w:r>
          <w:rPr>
            <w:rStyle w:val="Hyperlink"/>
          </w:rPr>
          <w:t xml:space="preserve">Blocking and advisory are not the same coverage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Part B -- the line-by-line surface</w:t>
      </w:r>
      <w:r>
        <w:t xml:space="preserve">, reviewed to the depth tiers above.</w:t>
      </w:r>
    </w:p>
    <w:p>
      <w:r>
        <w:pict>
          <v:rect style="width:0;height:1.5pt" o:hralign="center" o:hrstd="t" o:hr="t"/>
        </w:pict>
      </w:r>
    </w:p>
    <w:bookmarkEnd w:id="62"/>
    <w:bookmarkStart w:id="63" w:name="when-review-is-self-review"/>
    <w:p>
      <w:pPr>
        <w:pStyle w:val="Heading2"/>
      </w:pPr>
      <w:r>
        <w:t xml:space="preserve">When review is self-review</w:t>
      </w:r>
    </w:p>
    <w:p>
      <w:pPr>
        <w:pStyle w:val="FirstParagraph"/>
      </w:pPr>
      <w:r>
        <w:t xml:space="preserve">Where there is one maintainer, or no available second reviewer, row 5's human review is self-review.</w:t>
      </w:r>
      <w:r>
        <w:t xml:space="preserve"> </w:t>
      </w:r>
      <w:r>
        <w:t xml:space="preserve">Record that as a</w:t>
      </w:r>
      <w:r>
        <w:t xml:space="preserve"> </w:t>
      </w:r>
      <w:r>
        <w:rPr>
          <w:b/>
          <w:bCs/>
        </w:rPr>
        <w:t xml:space="preserve">documented deviation</w:t>
      </w:r>
      <w:r>
        <w:t xml:space="preserve"> </w:t>
      </w:r>
      <w:r>
        <w:t xml:space="preserve">rather than describing the control as satisfied. Name the</w:t>
      </w:r>
      <w:r>
        <w:t xml:space="preserve"> </w:t>
      </w:r>
      <w:r>
        <w:t xml:space="preserve">control that cannot be met, the compensating set actually in force, and the event that ends the</w:t>
      </w:r>
      <w:r>
        <w:t xml:space="preserve"> </w:t>
      </w:r>
      <w:r>
        <w:t xml:space="preserve">deviation.</w:t>
      </w:r>
    </w:p>
    <w:p>
      <w:pPr>
        <w:pStyle w:val="BodyText"/>
      </w:pPr>
      <w:r>
        <w:t xml:space="preserve">Then name the control that most nearly compensates. The overconfidence finding bites hardest exactly</w:t>
      </w:r>
      <w:r>
        <w:t xml:space="preserve"> </w:t>
      </w:r>
      <w:r>
        <w:t xml:space="preserve">when the author reviews their own machine-assisted output. That makes</w:t>
      </w:r>
      <w:r>
        <w:t xml:space="preserve"> </w:t>
      </w:r>
      <w:r>
        <w:rPr>
          <w:b/>
          <w:bCs/>
        </w:rPr>
        <w:t xml:space="preserve">mutation on changed code</w:t>
      </w:r>
      <w:r>
        <w:t xml:space="preserve"> </w:t>
      </w:r>
      <w:r>
        <w:t xml:space="preserve">the highest-leverage gate to build first. It is the one control that adversarially checks whether</w:t>
      </w:r>
      <w:r>
        <w:t xml:space="preserve"> </w:t>
      </w:r>
      <w:r>
        <w:t xml:space="preserve">the tests assert anything, independently of the author's confidence.</w:t>
      </w:r>
    </w:p>
    <w:p>
      <w:r>
        <w:pict>
          <v:rect style="width:0;height:1.5pt" o:hralign="center" o:hrstd="t" o:hr="t"/>
        </w:pict>
      </w:r>
    </w:p>
    <w:bookmarkEnd w:id="63"/>
    <w:bookmarkStart w:id="64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1"/>
        </w:numPr>
      </w:pPr>
      <w:r>
        <w:t xml:space="preserve">The tool behind every gate. Nothing here names one, deliberately.</w:t>
      </w:r>
    </w:p>
    <w:p>
      <w:pPr>
        <w:pStyle w:val="Compact"/>
        <w:numPr>
          <w:ilvl w:val="0"/>
          <w:numId w:val="1011"/>
        </w:numPr>
      </w:pPr>
      <w:r>
        <w:t xml:space="preserve">The thresholds. Set them from your own accumulating data and record them in your own appendix,</w:t>
      </w:r>
      <w:r>
        <w:t xml:space="preserve"> </w:t>
      </w:r>
      <w:r>
        <w:t xml:space="preserve">labeled project-set rather than evidence-certified.</w:t>
      </w:r>
    </w:p>
    <w:p>
      <w:pPr>
        <w:pStyle w:val="Compact"/>
        <w:numPr>
          <w:ilvl w:val="0"/>
          <w:numId w:val="1011"/>
        </w:numPr>
      </w:pPr>
      <w:r>
        <w:t xml:space="preserve">The owner tags. They should name the documents you actually have.</w:t>
      </w:r>
    </w:p>
    <w:p>
      <w:pPr>
        <w:pStyle w:val="Compact"/>
        <w:numPr>
          <w:ilvl w:val="0"/>
          <w:numId w:val="1011"/>
        </w:numPr>
      </w:pPr>
      <w:r>
        <w:t xml:space="preserve">Row 10's ruleset, and row 1's boundary rules. Both are project-shaped by definition.</w:t>
      </w:r>
    </w:p>
    <w:p>
      <w:pPr>
        <w:pStyle w:val="Compact"/>
        <w:numPr>
          <w:ilvl w:val="0"/>
          <w:numId w:val="1011"/>
        </w:numPr>
      </w:pPr>
      <w:r>
        <w:t xml:space="preserve">The depth-tier names, if yours are clearer. Keep the property that every file gets exactly one.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tier split.</w:t>
      </w:r>
      <w:r>
        <w:t xml:space="preserve"> </w:t>
      </w:r>
      <w:r>
        <w:t xml:space="preserve">Tier 2 rows may never decide a verdict. Moving a measurement row into Tier 1</w:t>
      </w:r>
      <w:r>
        <w:t xml:space="preserve"> </w:t>
      </w:r>
      <w:r>
        <w:t xml:space="preserve">because it is easy to measure is the whole failure this rubric exists to prevent.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anti-metric rule.</w:t>
      </w:r>
      <w:r>
        <w:t xml:space="preserve"> </w:t>
      </w:r>
      <w:r>
        <w:t xml:space="preserve">A coverage floor or a complexity gate is a defect, not a stricter</w:t>
      </w:r>
      <w:r>
        <w:t xml:space="preserve"> </w:t>
      </w:r>
      <w:r>
        <w:t xml:space="preserve">standard.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receipt requirement.</w:t>
      </w:r>
      <w:r>
        <w:t xml:space="preserve"> </w:t>
      </w:r>
      <w:r>
        <w:t xml:space="preserve">No row is recorded as built without proof it examined something.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hedges on the citations.</w:t>
      </w:r>
      <w:r>
        <w:t xml:space="preserve"> </w:t>
      </w:r>
      <w:r>
        <w:t xml:space="preserve">Quoting a figure without its limitation is how a document loses</w:t>
      </w:r>
      <w:r>
        <w:t xml:space="preserve"> </w:t>
      </w:r>
      <w:r>
        <w:t xml:space="preserve">a reviewer who has read the paper.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"Unverified is not a pass."</w:t>
      </w:r>
      <w:r>
        <w:t xml:space="preserve"> </w:t>
      </w:r>
      <w:r>
        <w:t xml:space="preserve">An unscored row is an open question, not a quiet yes.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refuted list.</w:t>
      </w:r>
      <w:r>
        <w:t xml:space="preserve"> </w:t>
      </w:r>
      <w:r>
        <w:t xml:space="preserve">If you drop it, the surviving citations lose the thing that makes them worth</w:t>
      </w:r>
      <w:r>
        <w:t xml:space="preserve"> </w:t>
      </w:r>
      <w:r>
        <w:t xml:space="preserve">more than alarm-bell numbers.</w:t>
      </w:r>
    </w:p>
    <w:p>
      <w:pPr>
        <w:pStyle w:val="FirstParagraph"/>
      </w:pPr>
      <w:r>
        <w:rPr>
          <w:b/>
          <w:bCs/>
        </w:rPr>
        <w:t xml:space="preserve">Decide before you publish, not after:</w:t>
      </w:r>
      <w:r>
        <w:t xml:space="preserve"> </w:t>
      </w:r>
      <w:r>
        <w:t xml:space="preserve">whether your signal numbers will be cited from outside the</w:t>
      </w:r>
      <w:r>
        <w:t xml:space="preserve"> </w:t>
      </w:r>
      <w:r>
        <w:t xml:space="preserve">document. In the source rubric they were renumbered one revision after publication, which required</w:t>
      </w:r>
      <w:r>
        <w:t xml:space="preserve"> </w:t>
      </w:r>
      <w:r>
        <w:t xml:space="preserve">rewriting every cross-reference in the document and its appendices. The citation identifiers were</w:t>
      </w:r>
      <w:r>
        <w:t xml:space="preserve"> </w:t>
      </w:r>
      <w:r>
        <w:t xml:space="preserve">deliberately left alone, because they are citations rather than signals.</w:t>
      </w:r>
    </w:p>
    <w:p>
      <w:pPr>
        <w:pStyle w:val="BodyText"/>
      </w:pPr>
      <w:r>
        <w:t xml:space="preserve">If a number will be quoted elsewhere, freeze it. If you must renumber, say which identifier families</w:t>
      </w:r>
      <w:r>
        <w:t xml:space="preserve"> </w:t>
      </w:r>
      <w:r>
        <w:t xml:space="preserve">are frozen and which moved, and rewrite every cross-reference in the same change.</w:t>
      </w:r>
    </w:p>
    <w:p>
      <w:r>
        <w:pict>
          <v:rect style="width:0;height:1.5pt" o:hralign="center" o:hrstd="t" o:hr="t"/>
        </w:pict>
      </w:r>
    </w:p>
    <w:bookmarkEnd w:id="64"/>
    <w:bookmarkStart w:id="65" w:name="in-one-table"/>
    <w:p>
      <w:pPr>
        <w:pStyle w:val="Heading2"/>
      </w:pPr>
      <w:r>
        <w:t xml:space="preserve">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Judge by the composite. Tier 1 decides; Tier 2 only starts a conversation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Unverified is not a pass. An unscored row is an open question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A row is built only when a receipt proves it examined something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Never certify quality, or fail a build, on any single gameable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No validated universal threshold exists. Set yours, record it, label it project-set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Advisory findings are a delta against the merge base, annotated where the reviewer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An outcome metric belongs in a delivery review, not an artifact rubric. Altitude, not distaste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Cheap gates run in both places; expensive ones are pipeline-first but locally invocable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The pipeline is authoritative. Local runs exist for fast feedback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Re-derive placement after any repair -- a cost model built on a broken gate is fiction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Tooling</w:t>
            </w:r>
          </w:p>
        </w:tc>
        <w:tc>
          <w:tcPr/>
          <w:p>
            <w:pPr>
              <w:pStyle w:val="Compact"/>
            </w:pPr>
            <w:r>
              <w:t xml:space="preserve">Pin exact tool versions; no failure-swallowing operators; require a non-zero examined count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Tooling</w:t>
            </w:r>
          </w:p>
        </w:tc>
        <w:tc>
          <w:tcPr/>
          <w:p>
            <w:pPr>
              <w:pStyle w:val="Compact"/>
            </w:pPr>
            <w:r>
              <w:t xml:space="preserve">Install gate tooling from a digest-recording lock, inside the same export machinery as the runtime locks. The declaration mechanism is 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</w:t>
            </w:r>
          </w:p>
        </w:tc>
        <w:tc>
          <w:tcPr/>
          <w:p>
            <w:pPr>
              <w:pStyle w:val="Compact"/>
            </w:pPr>
            <w:r>
              <w:t xml:space="preserve">Carry the hedge with the claim, at the point of use, never in a footnote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</w:t>
            </w:r>
          </w:p>
        </w:tc>
        <w:tc>
          <w:tcPr/>
          <w:p>
            <w:pPr>
              <w:pStyle w:val="Compact"/>
            </w:pPr>
            <w:r>
              <w:t xml:space="preserve">Publish what failed verification next to what passed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Classify every file into a depth tier and review to that tier. Publish the classification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Review a trust boundary by its question set, not by reading the body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Anchor a review record to a symbol name. Line numbers drift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Confirm the control plane first: present, blocking, green on the released commit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Advisory jobs are not coverage. Count blocking jobs that run on the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Every control names the document that owns it. Point at the owner; do not restate the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A control with no failure mode is decoration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Where review is self-review, record the deviation and name what compensates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5"/>
    <w:bookmarkStart w:id="70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3"/>
        </w:numPr>
      </w:pPr>
      <w:hyperlink r:id="rId5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the metric table with its [external] tags, judging</w:t>
      </w:r>
      <w:r>
        <w:t xml:space="preserve"> </w:t>
      </w:r>
      <w:r>
        <w:t xml:space="preserve">tests by assertions, receipts and liveness, sibling-path enumeration, the allowlist rule for</w:t>
      </w:r>
      <w:r>
        <w:t xml:space="preserve"> </w:t>
      </w:r>
      <w:r>
        <w:t xml:space="preserve">published artifacts, and the claim-honesty register</w:t>
      </w:r>
    </w:p>
    <w:p>
      <w:pPr>
        <w:pStyle w:val="Compact"/>
        <w:numPr>
          <w:ilvl w:val="0"/>
          <w:numId w:val="1013"/>
        </w:numPr>
      </w:pPr>
      <w:hyperlink r:id="rId66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sections 4 and 5, writing a guardrail and measuring</w:t>
      </w:r>
      <w:r>
        <w:t xml:space="preserve"> </w:t>
      </w:r>
      <w:r>
        <w:t xml:space="preserve">whether it works</w:t>
      </w:r>
    </w:p>
    <w:p>
      <w:pPr>
        <w:pStyle w:val="Compact"/>
        <w:numPr>
          <w:ilvl w:val="0"/>
          <w:numId w:val="1013"/>
        </w:numPr>
      </w:pPr>
      <w:hyperlink r:id="rId67">
        <w:r>
          <w:rPr>
            <w:rStyle w:val="Hyperlink"/>
          </w:rPr>
          <w:t xml:space="preserve">Case study: auditing a multi-session estate as one system</w:t>
        </w:r>
      </w:hyperlink>
      <w:r>
        <w:t xml:space="preserve"> </w:t>
      </w:r>
      <w:r>
        <w:t xml:space="preserve">--</w:t>
      </w:r>
      <w:r>
        <w:t xml:space="preserve"> </w:t>
      </w:r>
      <w:r>
        <w:t xml:space="preserve">proving a fix by deliberately mutating the shipped artifact</w:t>
      </w:r>
    </w:p>
    <w:p>
      <w:pPr>
        <w:pStyle w:val="Compact"/>
        <w:numPr>
          <w:ilvl w:val="0"/>
          <w:numId w:val="1013"/>
        </w:numPr>
      </w:pPr>
      <w:hyperlink r:id="rId68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 </w:t>
      </w:r>
      <w:r>
        <w:t xml:space="preserve">-- verdict</w:t>
      </w:r>
      <w:r>
        <w:t xml:space="preserve"> </w:t>
      </w:r>
      <w:r>
        <w:t xml:space="preserve">vocabularies, evidence anchors, corpus pinning, and how to read a movement in a score</w:t>
      </w:r>
    </w:p>
    <w:p>
      <w:pPr>
        <w:pStyle w:val="Compact"/>
        <w:numPr>
          <w:ilvl w:val="0"/>
          <w:numId w:val="1013"/>
        </w:numPr>
      </w:pPr>
      <w:hyperlink r:id="rId69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the three ways a scanner lies, and the blind spot no scanner</w:t>
      </w:r>
      <w:r>
        <w:t xml:space="preserve"> </w:t>
      </w:r>
      <w:r>
        <w:t xml:space="preserve">closes</w:t>
      </w:r>
    </w:p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8" Target="../ASVS-ASSESSMENT.md" TargetMode="External" /><Relationship Type="http://schemas.openxmlformats.org/officeDocument/2006/relationships/hyperlink" Id="rId57" Target="../CI-AND-STANDARDS.md" TargetMode="External" /><Relationship Type="http://schemas.openxmlformats.org/officeDocument/2006/relationships/hyperlink" Id="rId47" Target="../CI-AND-STANDARDS.md#a-check-that-cannot-fail-is-not-a-control" TargetMode="External" /><Relationship Type="http://schemas.openxmlformats.org/officeDocument/2006/relationships/hyperlink" Id="rId45" Target="../CI-AND-STANDARDS.md#a-cost-model-built-on-a-broken-gate-is-fiction" TargetMode="External" /><Relationship Type="http://schemas.openxmlformats.org/officeDocument/2006/relationships/hyperlink" Id="rId61" Target="../CI-AND-STANDARDS.md#blocking-and-advisory-are-not-the-same-coverage" TargetMode="External" /><Relationship Type="http://schemas.openxmlformats.org/officeDocument/2006/relationships/hyperlink" Id="rId51" Target="../CI-AND-STANDARDS.md#constrain-every-install-site-from-a-checked-in-lock" TargetMode="External" /><Relationship Type="http://schemas.openxmlformats.org/officeDocument/2006/relationships/hyperlink" Id="rId39" Target="../CI-AND-STANDARDS.md#enumerate-sibling-paths-for-every-control" TargetMode="External" /><Relationship Type="http://schemas.openxmlformats.org/officeDocument/2006/relationships/hyperlink" Id="rId53" Target="../CI-AND-STANDARDS.md#grandfather-to-a-clean-baseline-then-ratchet" TargetMode="External" /><Relationship Type="http://schemas.openxmlformats.org/officeDocument/2006/relationships/hyperlink" Id="rId21" Target="../CI-AND-STANDARDS.md#judge-tests-by-their-assertions-not-their-presence-or-their-coverage" TargetMode="External" /><Relationship Type="http://schemas.openxmlformats.org/officeDocument/2006/relationships/hyperlink" Id="rId20" Target="../CI-AND-STANDARDS.md#never-gate-on-a-single-gameable-number" TargetMode="External" /><Relationship Type="http://schemas.openxmlformats.org/officeDocument/2006/relationships/hyperlink" Id="rId23" Target="../CI-AND-STANDARDS.md#one-coherent-layer-per-commit" TargetMode="External" /><Relationship Type="http://schemas.openxmlformats.org/officeDocument/2006/relationships/hyperlink" Id="rId41" Target="../CI-AND-STANDARDS.md#one-gate-command-three-call-sites" TargetMode="External" /><Relationship Type="http://schemas.openxmlformats.org/officeDocument/2006/relationships/hyperlink" Id="rId17" Target="../CI-AND-STANDARDS.md#package-manifests-are-allowlists-not-sweeps" TargetMode="External" /><Relationship Type="http://schemas.openxmlformats.org/officeDocument/2006/relationships/hyperlink" Id="rId15" Target="../CI-AND-STANDARDS.md#receipts-count-what-the-check-examined-never-what-it-found" TargetMode="External" /><Relationship Type="http://schemas.openxmlformats.org/officeDocument/2006/relationships/hyperlink" Id="rId36" Target="../CI-AND-STANDARDS.md#run-a-refutation-pass-on-any-number-you-are-about-to-build-a-rule-on" TargetMode="External" /><Relationship Type="http://schemas.openxmlformats.org/officeDocument/2006/relationships/hyperlink" Id="rId13" Target="../CI-AND-STANDARDS.md#there-is-no-validated-universal-threshold" TargetMode="External" /><Relationship Type="http://schemas.openxmlformats.org/officeDocument/2006/relationships/hyperlink" Id="rId33" Target="../CI-AND-STANDARDS.md#verify-a-dependency-before-adding-it-and-know-what-verification-cannot-se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8" Target="https://arxiv.org/abs/1908.11590" TargetMode="External" /><Relationship Type="http://schemas.openxmlformats.org/officeDocument/2006/relationships/hyperlink" Id="rId26" Target="https://arxiv.org/abs/1912.01142" TargetMode="External" /><Relationship Type="http://schemas.openxmlformats.org/officeDocument/2006/relationships/hyperlink" Id="rId30" Target="https://arxiv.org/abs/2211.03622" TargetMode="External" /><Relationship Type="http://schemas.openxmlformats.org/officeDocument/2006/relationships/hyperlink" Id="rId27" Target="https://doi.org/10.1016/j.jss.2022.111561" TargetMode="External" /><Relationship Type="http://schemas.openxmlformats.org/officeDocument/2006/relationships/hyperlink" Id="rId29" Target="https://doi.org/10.1145/3180155.3180183" TargetMode="External" /><Relationship Type="http://schemas.openxmlformats.org/officeDocument/2006/relationships/hyperlink" Id="rId32" Target="https://dora.dev/research/2024/" TargetMode="External" /><Relationship Type="http://schemas.openxmlformats.org/officeDocument/2006/relationships/hyperlink" Id="rId9" Target="https://raw.githubusercontent.com/wshallwshall/secure-development-standards/main/docs/standards/CODE-QUALITY.md" TargetMode="External" /><Relationship Type="http://schemas.openxmlformats.org/officeDocument/2006/relationships/hyperlink" Id="rId10" Target="https://raw.githubusercontent.com/wshallwshall/secure-development-standards/main/docs/standards/word/CODE-QUALITY.docx" TargetMode="External" /><Relationship Type="http://schemas.openxmlformats.org/officeDocument/2006/relationships/hyperlink" Id="rId67" Target="https://wshallwshall.github.io/claude-multisession/CASE-STUDY-drift-audit.html" TargetMode="External" /><Relationship Type="http://schemas.openxmlformats.org/officeDocument/2006/relationships/hyperlink" Id="rId69" Target="https://wshallwshall.github.io/claude-multisession/LEAK-GATE.html" TargetMode="External" /><Relationship Type="http://schemas.openxmlformats.org/officeDocument/2006/relationships/hyperlink" Id="rId66" Target="https://wshallwshall.github.io/claude-multisession/TIPS-AND-TRICKS.html" TargetMode="External" /><Relationship Type="http://schemas.openxmlformats.org/officeDocument/2006/relationships/hyperlink" Id="rId31" Target="https://www.gitclear.com/ai_assistant_code_quality_2025_re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8" Target="../ASVS-ASSESSMENT.md" TargetMode="External" /><Relationship Type="http://schemas.openxmlformats.org/officeDocument/2006/relationships/hyperlink" Id="rId57" Target="../CI-AND-STANDARDS.md" TargetMode="External" /><Relationship Type="http://schemas.openxmlformats.org/officeDocument/2006/relationships/hyperlink" Id="rId47" Target="../CI-AND-STANDARDS.md#a-check-that-cannot-fail-is-not-a-control" TargetMode="External" /><Relationship Type="http://schemas.openxmlformats.org/officeDocument/2006/relationships/hyperlink" Id="rId45" Target="../CI-AND-STANDARDS.md#a-cost-model-built-on-a-broken-gate-is-fiction" TargetMode="External" /><Relationship Type="http://schemas.openxmlformats.org/officeDocument/2006/relationships/hyperlink" Id="rId61" Target="../CI-AND-STANDARDS.md#blocking-and-advisory-are-not-the-same-coverage" TargetMode="External" /><Relationship Type="http://schemas.openxmlformats.org/officeDocument/2006/relationships/hyperlink" Id="rId51" Target="../CI-AND-STANDARDS.md#constrain-every-install-site-from-a-checked-in-lock" TargetMode="External" /><Relationship Type="http://schemas.openxmlformats.org/officeDocument/2006/relationships/hyperlink" Id="rId39" Target="../CI-AND-STANDARDS.md#enumerate-sibling-paths-for-every-control" TargetMode="External" /><Relationship Type="http://schemas.openxmlformats.org/officeDocument/2006/relationships/hyperlink" Id="rId53" Target="../CI-AND-STANDARDS.md#grandfather-to-a-clean-baseline-then-ratchet" TargetMode="External" /><Relationship Type="http://schemas.openxmlformats.org/officeDocument/2006/relationships/hyperlink" Id="rId21" Target="../CI-AND-STANDARDS.md#judge-tests-by-their-assertions-not-their-presence-or-their-coverage" TargetMode="External" /><Relationship Type="http://schemas.openxmlformats.org/officeDocument/2006/relationships/hyperlink" Id="rId20" Target="../CI-AND-STANDARDS.md#never-gate-on-a-single-gameable-number" TargetMode="External" /><Relationship Type="http://schemas.openxmlformats.org/officeDocument/2006/relationships/hyperlink" Id="rId23" Target="../CI-AND-STANDARDS.md#one-coherent-layer-per-commit" TargetMode="External" /><Relationship Type="http://schemas.openxmlformats.org/officeDocument/2006/relationships/hyperlink" Id="rId41" Target="../CI-AND-STANDARDS.md#one-gate-command-three-call-sites" TargetMode="External" /><Relationship Type="http://schemas.openxmlformats.org/officeDocument/2006/relationships/hyperlink" Id="rId17" Target="../CI-AND-STANDARDS.md#package-manifests-are-allowlists-not-sweeps" TargetMode="External" /><Relationship Type="http://schemas.openxmlformats.org/officeDocument/2006/relationships/hyperlink" Id="rId15" Target="../CI-AND-STANDARDS.md#receipts-count-what-the-check-examined-never-what-it-found" TargetMode="External" /><Relationship Type="http://schemas.openxmlformats.org/officeDocument/2006/relationships/hyperlink" Id="rId36" Target="../CI-AND-STANDARDS.md#run-a-refutation-pass-on-any-number-you-are-about-to-build-a-rule-on" TargetMode="External" /><Relationship Type="http://schemas.openxmlformats.org/officeDocument/2006/relationships/hyperlink" Id="rId13" Target="../CI-AND-STANDARDS.md#there-is-no-validated-universal-threshold" TargetMode="External" /><Relationship Type="http://schemas.openxmlformats.org/officeDocument/2006/relationships/hyperlink" Id="rId33" Target="../CI-AND-STANDARDS.md#verify-a-dependency-before-adding-it-and-know-what-verification-cannot-se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8" Target="https://arxiv.org/abs/1908.11590" TargetMode="External" /><Relationship Type="http://schemas.openxmlformats.org/officeDocument/2006/relationships/hyperlink" Id="rId26" Target="https://arxiv.org/abs/1912.01142" TargetMode="External" /><Relationship Type="http://schemas.openxmlformats.org/officeDocument/2006/relationships/hyperlink" Id="rId30" Target="https://arxiv.org/abs/2211.03622" TargetMode="External" /><Relationship Type="http://schemas.openxmlformats.org/officeDocument/2006/relationships/hyperlink" Id="rId27" Target="https://doi.org/10.1016/j.jss.2022.111561" TargetMode="External" /><Relationship Type="http://schemas.openxmlformats.org/officeDocument/2006/relationships/hyperlink" Id="rId29" Target="https://doi.org/10.1145/3180155.3180183" TargetMode="External" /><Relationship Type="http://schemas.openxmlformats.org/officeDocument/2006/relationships/hyperlink" Id="rId32" Target="https://dora.dev/research/2024/" TargetMode="External" /><Relationship Type="http://schemas.openxmlformats.org/officeDocument/2006/relationships/hyperlink" Id="rId9" Target="https://raw.githubusercontent.com/wshallwshall/secure-development-standards/main/docs/standards/CODE-QUALITY.md" TargetMode="External" /><Relationship Type="http://schemas.openxmlformats.org/officeDocument/2006/relationships/hyperlink" Id="rId10" Target="https://raw.githubusercontent.com/wshallwshall/secure-development-standards/main/docs/standards/word/CODE-QUALITY.docx" TargetMode="External" /><Relationship Type="http://schemas.openxmlformats.org/officeDocument/2006/relationships/hyperlink" Id="rId67" Target="https://wshallwshall.github.io/claude-multisession/CASE-STUDY-drift-audit.html" TargetMode="External" /><Relationship Type="http://schemas.openxmlformats.org/officeDocument/2006/relationships/hyperlink" Id="rId69" Target="https://wshallwshall.github.io/claude-multisession/LEAK-GATE.html" TargetMode="External" /><Relationship Type="http://schemas.openxmlformats.org/officeDocument/2006/relationships/hyperlink" Id="rId66" Target="https://wshallwshall.github.io/claude-multisession/TIPS-AND-TRICKS.html" TargetMode="External" /><Relationship Type="http://schemas.openxmlformats.org/officeDocument/2006/relationships/hyperlink" Id="rId31" Target="https://www.gitclear.com/ai_assistant_code_quality_2025_re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2026-08-08T00:33:54Z</dcterms:created>
  <dcterms:modified xsi:type="dcterms:W3CDTF">2026-08-08T00:33:54Z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